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*ST皇庭</w:t>
        <w:br/>
        <w:t>000056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118 名 ｜ 摸鱼指数 41.6 ｜ V2保壳分 47 ｜ C级 ｜ 全榜第 129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第129名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41.6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24.60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2.08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民企(个人)（郑康豪）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质押或冻结存在（历史口径缺失取中性档），控制权有潜在扰动。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4/6。质押或冻结存在（历史口径缺失取中性档），控制权有潜在扰动。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0/10。归母净资产为负（资不抵债），触及财务类退市红线。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A2 扣非主营收入(12/12)、B1 立案/造假(10/10)、H1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面值距离(4/6)、C2 壳价值锚定(6/8)、S2 股权质押(4/6)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实控人性质(3/12)、A1 净资产(0/10)、A3 扣非净利润(0/6)、D1 现金流(2/4)、B2 审计意见(0/12)、F2 重组纾困(2/6)、F1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*ST皇庭（000056）当前V2保壳评分 47 分（C级），全榜第 129 名。安全垫维度：A2扣非主营收入、B1立案/造假、H1司法风险。实控人为民企(个人)（郑康豪），无国资兜底，保壳依赖自身资源与外部资本博弈。已有出售资产/债务豁免等保壳动作，但尚未形成重组级信号。市值24.60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资不抵债；无法表示/否定意见；出售资产/债务豁免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风险源维度：S1实控人性质、A1净资产、A3扣非净利润、D1现金流、B2审计意见、F2重组纾困、F1财务趋势。 审计意见为无法表示/否定意见（B2=0），总分封顶50分，是重大规范风险。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跟读报告｜*ST皇庭（000056）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