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*ST国中</w:t>
        <w:br/>
        <w:t>600187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126 名 ｜ 摸鱼指数 39.9 ｜ V2保壳分 41 ｜ C级 ｜ 全榜第 148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41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第148名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39.9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21.95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1.36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民企(个人)（姜照柏）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带强调事项段的无保留意见，审计面基本干净但有提示事项。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1/6。现价已跌破或濒临1元面值线，面值退市风险极端。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3/12。营收缺口大（触及「营收&lt;红线+亏损」组合），已构成财务类退市风险。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9/12。带强调事项段的无保留意见，审计面基本干净但有提示事项。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A1 净资产(10/10)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B1 立案/造假(7/10)、B2 审计意见(9/12)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面值距离(1/6)、C2 壳价值锚定(4/8)、S1 实控人性质(3/12)、S2 股权质押(0/6)、A2 扣非主营收入(3/12)、A3 扣非净利润(0/6)、D1 现金流(0/4)、F2 重组纾困(2/6)、F1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*ST国中（600187）当前V2保壳评分 41 分（C级），全榜第 148 名。安全垫维度：A1净资产。实控人为民企(个人)（姜照柏），无国资兜底，保壳依赖自身资源与外部资本博弈。已有出售资产/债务豁免等保壳动作，但尚未形成重组级信号。市值21.95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面值退市警戒；面值危机压制壳价值分；股份冻结；营收缺口27%且已戴*ST；行政处罚落地(一般)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风险源维度：C1面值距离、C2壳价值锚定、S1实控人性质、S2股权质押、A2扣非主营收入、A3扣非净利润、D1现金流、F2重组纾困、F1财务趋势、H1司法风险。 营收未达标且扣非亏损，已触及「营收&lt;红线+亏损」财务类退市红线组合。 股价贴近或跌破1元面值线（C1≤1），面值退市危机显著。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跟读报告｜*ST国中（600187）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