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*ST航图</w:t>
        <w:br/>
        <w:t>688066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127 名 ｜ 摸鱼指数 39.9 ｜ V2保壳分 40 ｜ C级 ｜ 全榜第 152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第152名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39.9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21.44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8.14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民企(法人)（王宇翔,张燕）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科创板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面值距离(6/6)、A2 扣非主营收入(12/12)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股权质押(0/6)、A1 净资产(0/10)、A3 扣非净利润(0/6)、D1 现金流(0/4)、B1 立案/造假(4/10)、F2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*ST航图（688066）当前V2保壳评分 40 分（C级），全榜第 152 名。安全垫维度：C1面值距离、A2扣非主营收入。实控人为民企(法人)（王宇翔,张燕），无国资兜底，保壳依赖自身资源与外部资本博弈。暂无重组/纾困信号，保壳主要依赖自身经营修复。市值21.44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股份冻结；资不抵债；立案调查中；带强调事项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风险源维度：S1实控人性质、S2股权质押、A1净资产、A3扣非净利润、D1现金流、B1立案/造假、F2重组纾困、F1财务趋势、H1司法风险。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跟读报告｜*ST航图（688066）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