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ST兴化</w:t>
        <w:br/>
        <w:t>002109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128 名 ｜ 摸鱼指数 39.5 ｜ V2保壳分 50 ｜ C级 ｜ 全榜第 104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第104名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39.5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35.86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2.81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省级国资（陕西省人民政府国有资产监督管理委员会）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实控人性质(10/12)、S2 股权质押(6/6)、A1 净资产(10/10)、A2 扣非主营收入(12/12)、F1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壳价值锚定(2/8)、A3 扣非净利润(3/6)、D1 现金流(2/4)、B1 立案/造假(4/10)、B2 审计意见(0/12)、F2 重组纾困(2/6)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ST兴化（002109）当前V2保壳评分 50 分（C级），全榜第 104 名。安全垫维度：S1实控人性质、S2股权质押、A1净资产、A2扣非主营收入、F1财务趋势、H1司法风险。实控人为省级国资（陕西省人民政府国有资产监督管理委员会），具备省级政府信用背书与资源整合能力。已有出售资产/债务豁免等保壳动作，但尚未形成重组级信号。市值35.86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实控人：陕西省人民政府国有资产监督管理委员会（省级国资）；无质押；立案调查中；无法表示/否定意见；出售资产/债务豁免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风险源维度：C2壳价值锚定、A3扣非净利润、D1现金流、B1立案/造假、B2审计意见、F2重组纾困。 审计意见为无法表示/否定意见（B2=0），总分封顶50分，是重大规范风险。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跟读报告｜ST兴化（002109）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