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*ST八钢</w:t>
        <w:br/>
        <w:t>600581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138 名 ｜ 摸鱼指数 37.4 ｜ V2保壳分 45 ｜ C级 ｜ 全榜第 137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第137名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36.64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2.39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央企（中国宝武钢铁集团有限公司）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现价在2~3元区间，距面值退市红线中等距离，需盯住低价波动。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国资实控（央企或省级国资委），保壳兜底能力与信用资源为最高档。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归母净资产为负（资不抵债），触及财务类退市红线。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营收接近达标但含金量打折（如低毛利冲量被模型识别）。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重大违法处罚落地（立案→处罚全链条），触发封顶（总分≤30）。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保留意见，审计瑕疵存在，需消除后才能摘帽。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4/6。现价在2~3元区间，距面值退市红线中等距离，需盯住低价波动。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10/12。国资实控（央企或省级国资委），保壳兜底能力与信用资源为最高档。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0/10。归母净资产为负（资不抵债），触及财务类退市红线。</w:t>
      </w:r>
    </w:p>
    <w:p>
      <w:r>
        <w:rPr>
          <w:b w:val="0"/>
        </w:rPr>
        <w:t>【A2 扣非主营收入】得分 9/12。营收接近达标但含金量打折（如低毛利冲量被模型识别）。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0/4。经营现金流为负，资金链压力大。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4/10。重大违法处罚落地（立案→处罚全链条），触发封顶（总分≤30）。</w:t>
      </w:r>
    </w:p>
    <w:p>
      <w:r>
        <w:rPr>
          <w:b w:val="0"/>
        </w:rPr>
        <w:t>【B2 审计意见】得分 6/12。保留意见，审计瑕疵存在，需消除后才能摘帽。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实控人性质(10/12)、S2 股权质押(6/6)、F1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C1 面值距离(4/6)、A2 扣非主营收入(9/12)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壳价值锚定(2/8)、A1 净资产(0/10)、A3 扣非净利润(0/6)、D1 现金流(0/4)、B1 立案/造假(4/10)、B2 审计意见(6/12)、F2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*ST八钢（600581）当前V2保壳评分 45 分（C级），全榜第 137 名。安全垫维度：S1实控人性质、S2股权质押、F1财务趋势。实控人为央企（中国宝武钢铁集团有限公司），国资信用与资源协调能力构成最强保壳兜底。暂无重组/纾困信号，保壳主要依赖自身经营修复。市值36.64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实控人：中国宝武钢铁集团有限公司（央企）；无质押；资不抵债；低毛利收入占94%（冲量嫌疑）；立案调查中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风险源维度：C2壳价值锚定、A1净资产、A3扣非净利润、D1现金流、B1立案/造假、B2审计意见、F2重组纾困、H1司法风险。 经营现金流为负，资金链压力较大。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跟读报告｜*ST八钢（600581）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