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*ST赛为</w:t>
        <w:br/>
        <w:t>300044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142 名 ｜ 摸鱼指数 36.6 ｜ V2保壳分 45 ｜ C级 ｜ 全榜第 139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第139名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36.6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40.94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5.36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民企(个人)（周勇）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6/12。营收低于红线但缺口可控。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面值距离(6/6)、D1 现金流(4/4)、B1 立案/造假(10/10)、F1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壳价值锚定(2/8)、S1 实控人性质(3/12)、S2 股权质押(0/6)、A1 净资产(0/10)、A2 扣非主营收入(6/12)、A3 扣非净利润(0/6)、B2 审计意见(6/12)、H1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*ST赛为（300044）当前V2保壳评分 45 分（C级），全榜第 139 名。安全垫维度：C1面值距离、D1现金流、B1立案/造假、F1财务趋势。实控人为民企(个人)（周勇），无国资兜底，保壳依赖自身资源与外部资本博弈。重组/预重整正在推进，保壳有实质抓手。市值40.94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股份冻结；资不抵债；营收缺口20%且已戴*ST；保留意见；申请/预重整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风险源维度：C2壳价值锚定、S1实控人性质、S2股权质押、A1净资产、A2扣非主营收入、A3扣非净利润、B2审计意见、H1司法风险。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跟读报告｜*ST赛为（300044）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