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*ST景谷</w:t>
        <w:br/>
        <w:t>600265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147 名 ｜ 摸鱼指数 35.3 ｜ V2保壳分 36 ｜ C级 ｜ 全榜第 163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35.3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29.70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22.88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民企(个人)（郑家纯）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股权质押(0/6)、A2 扣非主营收入(0/12)、A3 扣非净利润(0/6)、D1 现金流(0/4)、B1 立案/造假(4/10)、F2 重组纾困(2/6)、F1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*ST景谷（600265）当前V2保壳评分 36 分（C级），全榜第 163 名。安全垫维度：C1面值距离。实控人为民企(个人)（郑家纯），无国资兜底，保壳依赖自身资源与外部资本博弈。已有出售资产/债务豁免等保壳动作，但尚未形成重组级信号。市值29.70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股份冻结；营收缺口53%且已戴*ST；立案调查中；带强调事项；出售资产/债务豁免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风险源维度：C2壳价值锚定、S1实控人性质、S2股权质押、A2扣非主营收入、A3扣非净利润、D1现金流、B1立案/造假、F2重组纾困、F1财务趋势、H1司法风险。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跟读报告｜*ST景谷（600265）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