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ST人福</w:t>
        <w:br/>
        <w:t>600079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150 名 ｜ 摸鱼指数 34.5 ｜ V2保壳分 69 ｜ B级 ｜ 全榜第 10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34.5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304.57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18.66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央企（招商局集团有限公司）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重整已进入执行/完成阶段（或重大资产重组落地），保壳确定性最高。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6/6。重整已进入执行/完成阶段（或重大资产重组落地），保壳确定性最高。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面值距离(6/6)、S1 实控人性质(10/12)、A1 净资产(10/10)、A2 扣非主营收入(12/12)、A3 扣非净利润(6/6)、D1 现金流(4/4)、F2 重组纾困(6/6)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壳价值锚定(0/8)、S2 股权质押(0/6)、B2 审计意见(6/12)、F1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ST人福（600079）当前V2保壳评分 69 分（B级），全榜第 10 名。安全垫维度：C1面值距离、S1实控人性质、A1净资产、A2扣非主营收入、A3扣非净利润、D1现金流、F2重组纾困。实控人为央企（招商局集团有限公司），国资信用与资源协调能力构成最强保壳兜底。重组/纾困已进入执行或完成阶段，保壳确定性最高。市值304.57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实控人：招商局集团有限公司（央企）；股份冻结；扣非盈利；行政处罚落地(一般)；董监高个人被立案/处罚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风险源维度：C2壳价值锚定、S2股权质押、B2审计意见、F1财务趋势、H1司法风险。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跟读报告｜ST人福（600079）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