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52"/>
        </w:rPr>
        <w:t>ST百灵</w:t>
        <w:br/>
        <w:t>002424</w:t>
      </w:r>
    </w:p>
    <w:p>
      <w:pPr>
        <w:jc w:val="center"/>
      </w:pPr>
      <w:r>
        <w:rPr>
          <w:color w:val="1A5276"/>
          <w:sz w:val="30"/>
        </w:rPr>
        <w:t>ST摸鱼风云-V2 · 跟读报告（详细版）</w:t>
      </w:r>
    </w:p>
    <w:p>
      <w:pPr>
        <w:jc w:val="center"/>
      </w:pPr>
      <w:r>
        <w:rPr>
          <w:color w:val="666666"/>
          <w:sz w:val="20"/>
        </w:rPr>
        <w:t>摸鱼榜第 151 名 ｜ 摸鱼指数 34.4 ｜ V2保壳分 50 ｜ C级 ｜ 全榜第 113 名</w:t>
        <w:br/>
        <w:t>报告日期：2026年8月31日</w:t>
        <w:br/>
        <w:t>榜单时点：（财务报告期 20251231）</w:t>
        <w:br/>
        <w:t>评分模型：ST保壳评分系统V2（十三维100分制）· 榜单分数 = 报告分数</w:t>
      </w:r>
    </w:p>
    <w:p/>
    <w:p>
      <w:r>
        <w:fldChar w:fldCharType="begin"/>
        <w:instrText xml:space="preserve">TOC \o "1-2" \h \z \u</w:instrText>
        <w:fldChar w:fldCharType="separate"/>
        <w:t>（目录域：打开文档后 Ctrl+A → F9 刷新生成目录）</w:t>
        <w:fldChar w:fldCharType="end"/>
      </w:r>
    </w:p>
    <w:p>
      <w:r>
        <w:br w:type="page"/>
      </w:r>
    </w:p>
    <w:p>
      <w:pPr>
        <w:pStyle w:val="Heading1"/>
      </w:pPr>
      <w:r>
        <w:rPr>
          <w:color w:val="1A5276"/>
        </w:rPr>
        <w:t>一、报告说明与口径</w:t>
      </w:r>
    </w:p>
    <w:p>
      <w:r>
        <w:rPr>
          <w:b w:val="0"/>
        </w:rPr>
        <w:t>本报告为「ST摸鱼风云」会员跟读个股深度报告，采用 V2 刻度（ST保壳评分系统V2，十三维100分制）。分数越高 = 保壳越容易、退市风险越低。榜单分数与报告分数同源（score_v2.py 单源出分），已用模型单股入口对本标的重跑核验：总分/等级与榜单零偏差，以下明细即模型权威输出。</w:t>
      </w:r>
    </w:p>
    <w:p>
      <w:pPr>
        <w:pStyle w:val="Heading2"/>
      </w:pPr>
      <w:r>
        <w:rPr>
          <w:color w:val="2E749B"/>
        </w:rPr>
        <w:t>1.1 评级标准</w:t>
      </w:r>
    </w:p>
    <w:p>
      <w:r>
        <w:rPr>
          <w:b w:val="0"/>
        </w:rPr>
        <w:t>A级 &gt;70（低风险·退市概率低）｜B级 50~70（中风险·保壳有希望）｜C级 30~50（高风险）｜D级 ≤30（极高风险）</w:t>
      </w:r>
    </w:p>
    <w:p>
      <w:pPr>
        <w:pStyle w:val="Heading2"/>
      </w:pPr>
      <w:r>
        <w:rPr>
          <w:color w:val="2E749B"/>
        </w:rPr>
        <w:t>1.2 关键口径</w:t>
      </w:r>
    </w:p>
    <w:p>
      <w:r>
        <w:rPr>
          <w:b w:val="0"/>
        </w:rPr>
        <w:t>· 财务数据：财务报告期 20251231；公告信号窗口：近24个月巨潮公告定向采集。</w:t>
        <w:br/>
        <w:t>· 行情数据：榜单生成日（）收盘快照。</w:t>
        <w:br/>
        <w:t>· 壳价值锚定：壳基准 33.81 亿（近2年154笔实控权变更市值中位数，own口径）。</w:t>
        <w:br/>
        <w:t>· 营收红线：主板≥3亿 / 双创≥1亿（扣非口径）。</w:t>
      </w:r>
    </w:p>
    <w:p>
      <w:pPr>
        <w:pStyle w:val="Heading1"/>
      </w:pPr>
      <w:r>
        <w:rPr>
          <w:color w:val="1A5276"/>
        </w:rPr>
        <w:t>二、评分总览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960"/>
        <w:gridCol w:w="960"/>
        <w:gridCol w:w="960"/>
        <w:gridCol w:w="960"/>
        <w:gridCol w:w="960"/>
        <w:gridCol w:w="960"/>
        <w:gridCol w:w="960"/>
        <w:gridCol w:w="960"/>
        <w:gridCol w:w="960"/>
      </w:tblGrid>
      <w:tr>
        <w:tc>
          <w:tcPr>
            <w:tcW w:type="dxa" w:w="960"/>
          </w:tcPr>
          <w:p>
            <w:r/>
            <w:r>
              <w:rPr>
                <w:b/>
                <w:sz w:val="18"/>
              </w:rPr>
              <w:t>V2保壳分</w:t>
            </w:r>
          </w:p>
        </w:tc>
        <w:tc>
          <w:tcPr>
            <w:tcW w:type="dxa" w:w="960"/>
          </w:tcPr>
          <w:p>
            <w:r/>
            <w:r>
              <w:rPr>
                <w:b/>
                <w:sz w:val="18"/>
              </w:rPr>
              <w:t>等级</w:t>
            </w:r>
          </w:p>
        </w:tc>
        <w:tc>
          <w:tcPr>
            <w:tcW w:type="dxa" w:w="960"/>
          </w:tcPr>
          <w:p>
            <w:r/>
            <w:r>
              <w:rPr>
                <w:b/>
                <w:sz w:val="18"/>
              </w:rPr>
              <w:t>全榜排名</w:t>
            </w:r>
          </w:p>
        </w:tc>
        <w:tc>
          <w:tcPr>
            <w:tcW w:type="dxa" w:w="960"/>
          </w:tcPr>
          <w:p>
            <w:r/>
            <w:r>
              <w:rPr>
                <w:b/>
                <w:sz w:val="18"/>
              </w:rPr>
              <w:t>摸鱼指数</w:t>
            </w:r>
          </w:p>
        </w:tc>
        <w:tc>
          <w:tcPr>
            <w:tcW w:type="dxa" w:w="960"/>
          </w:tcPr>
          <w:p>
            <w:r/>
            <w:r>
              <w:rPr>
                <w:b/>
                <w:sz w:val="18"/>
              </w:rPr>
              <w:t>壳便宜分</w:t>
            </w:r>
          </w:p>
        </w:tc>
        <w:tc>
          <w:tcPr>
            <w:tcW w:type="dxa" w:w="960"/>
          </w:tcPr>
          <w:p>
            <w:r/>
            <w:r>
              <w:rPr>
                <w:b/>
                <w:sz w:val="18"/>
              </w:rPr>
              <w:t>市值(亿)</w:t>
            </w:r>
          </w:p>
        </w:tc>
        <w:tc>
          <w:tcPr>
            <w:tcW w:type="dxa" w:w="960"/>
          </w:tcPr>
          <w:p>
            <w:r/>
            <w:r>
              <w:rPr>
                <w:b/>
                <w:sz w:val="18"/>
              </w:rPr>
              <w:t>现价(元)</w:t>
            </w:r>
          </w:p>
        </w:tc>
        <w:tc>
          <w:tcPr>
            <w:tcW w:type="dxa" w:w="960"/>
          </w:tcPr>
          <w:p>
            <w:r/>
            <w:r>
              <w:rPr>
                <w:b/>
                <w:sz w:val="18"/>
              </w:rPr>
              <w:t>实控人属性</w:t>
            </w:r>
          </w:p>
        </w:tc>
        <w:tc>
          <w:tcPr>
            <w:tcW w:type="dxa" w:w="960"/>
          </w:tcPr>
          <w:p>
            <w:r/>
            <w:r>
              <w:rPr>
                <w:b/>
                <w:sz w:val="18"/>
              </w:rPr>
              <w:t>板块</w:t>
            </w:r>
          </w:p>
        </w:tc>
      </w:tr>
      <w:tr>
        <w:tc>
          <w:tcPr>
            <w:tcW w:type="dxa" w:w="960"/>
          </w:tcPr>
          <w:p>
            <w:r/>
            <w:r>
              <w:rPr>
                <w:sz w:val="18"/>
              </w:rPr>
              <w:t>50</w:t>
            </w:r>
          </w:p>
        </w:tc>
        <w:tc>
          <w:tcPr>
            <w:tcW w:type="dxa" w:w="960"/>
          </w:tcPr>
          <w:p>
            <w:r/>
            <w:r>
              <w:rPr>
                <w:sz w:val="18"/>
              </w:rPr>
              <w:t>C</w:t>
            </w:r>
          </w:p>
        </w:tc>
        <w:tc>
          <w:tcPr>
            <w:tcW w:type="dxa" w:w="960"/>
          </w:tcPr>
          <w:p>
            <w:r/>
            <w:r>
              <w:rPr>
                <w:sz w:val="18"/>
              </w:rPr>
              <w:t>第113名</w:t>
            </w:r>
          </w:p>
        </w:tc>
        <w:tc>
          <w:tcPr>
            <w:tcW w:type="dxa" w:w="960"/>
          </w:tcPr>
          <w:p>
            <w:r/>
            <w:r>
              <w:rPr>
                <w:sz w:val="18"/>
              </w:rPr>
              <w:t>34.4</w:t>
            </w:r>
          </w:p>
        </w:tc>
        <w:tc>
          <w:tcPr>
            <w:tcW w:type="dxa" w:w="960"/>
          </w:tcPr>
          <w:p>
            <w:r/>
            <w:r>
              <w:rPr>
                <w:sz w:val="18"/>
              </w:rPr>
              <w:t>31</w:t>
            </w:r>
          </w:p>
        </w:tc>
        <w:tc>
          <w:tcPr>
            <w:tcW w:type="dxa" w:w="960"/>
          </w:tcPr>
          <w:p>
            <w:r/>
            <w:r>
              <w:rPr>
                <w:sz w:val="18"/>
              </w:rPr>
              <w:t>64.57</w:t>
            </w:r>
          </w:p>
        </w:tc>
        <w:tc>
          <w:tcPr>
            <w:tcW w:type="dxa" w:w="960"/>
          </w:tcPr>
          <w:p>
            <w:r/>
            <w:r>
              <w:rPr>
                <w:sz w:val="18"/>
              </w:rPr>
              <w:t>4.62</w:t>
            </w:r>
          </w:p>
        </w:tc>
        <w:tc>
          <w:tcPr>
            <w:tcW w:type="dxa" w:w="960"/>
          </w:tcPr>
          <w:p>
            <w:r/>
            <w:r>
              <w:rPr>
                <w:sz w:val="18"/>
              </w:rPr>
              <w:t>民企(个人)（姜伟）</w:t>
            </w:r>
          </w:p>
        </w:tc>
        <w:tc>
          <w:tcPr>
            <w:tcW w:type="dxa" w:w="960"/>
          </w:tcPr>
          <w:p>
            <w:r/>
            <w:r>
              <w:rPr>
                <w:sz w:val="18"/>
              </w:rPr>
              <w:t>主板</w:t>
            </w:r>
          </w:p>
        </w:tc>
      </w:tr>
    </w:tbl>
    <w:p>
      <w:r>
        <w:rPr>
          <w:b w:val="0"/>
        </w:rPr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/>
            <w:r>
              <w:rPr>
                <w:b/>
                <w:sz w:val="18"/>
              </w:rPr>
              <w:t>维度</w:t>
            </w:r>
          </w:p>
        </w:tc>
        <w:tc>
          <w:tcPr>
            <w:tcW w:type="dxa" w:w="2160"/>
          </w:tcPr>
          <w:p>
            <w:r/>
            <w:r>
              <w:rPr>
                <w:b/>
                <w:sz w:val="18"/>
              </w:rPr>
              <w:t>得分</w:t>
            </w:r>
          </w:p>
        </w:tc>
        <w:tc>
          <w:tcPr>
            <w:tcW w:type="dxa" w:w="2160"/>
          </w:tcPr>
          <w:p>
            <w:r/>
            <w:r>
              <w:rPr>
                <w:b/>
                <w:sz w:val="18"/>
              </w:rPr>
              <w:t>满分</w:t>
            </w:r>
          </w:p>
        </w:tc>
        <w:tc>
          <w:tcPr>
            <w:tcW w:type="dxa" w:w="2160"/>
          </w:tcPr>
          <w:p>
            <w:r/>
            <w:r>
              <w:rPr>
                <w:b/>
                <w:sz w:val="18"/>
              </w:rPr>
              <w:t>解读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C1 面值距离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5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6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现价在3~8元区间，距面值退市线安全边际较大，面值通道无威胁。</w:t>
            </w:r>
          </w:p>
        </w:tc>
      </w:tr>
      <w:tr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C2 壳价值锚定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0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8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市值显著高于壳基准，壳价值无优势。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S1 实控人性质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3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12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民企/个人实控，无国资兜底，保壳依赖自身资源与外部资本博弈。</w:t>
            </w:r>
          </w:p>
        </w:tc>
      </w:tr>
      <w:tr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S2 股权质押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6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6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无质押/质押比例极低，控制权稳固，无平仓扰动。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A1 净资产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10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10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归母净资产非常充裕（≥10分档），资不抵债风险极低。</w:t>
            </w:r>
          </w:p>
        </w:tc>
      </w:tr>
      <w:tr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A2 扣非主营收入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12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12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营收达标（主板≥3亿/双创≥1亿），财务类退市红线安全。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A3 扣非净利润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3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6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微利或微亏，盈利面中性。</w:t>
            </w:r>
          </w:p>
        </w:tc>
      </w:tr>
      <w:tr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D1 现金流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4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4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经营现金流为正，造血正常。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B1 立案/造假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7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10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存在一般档行政处罚落地（无立案链条）或子公司被罚，非重大违法档。</w:t>
            </w:r>
          </w:p>
        </w:tc>
      </w:tr>
      <w:tr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B2 审计意见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0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12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无法表示/否定意见，触发审计封顶。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F2 重组纾困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0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6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无重组/纾困信号，保壳依赖自身经营。</w:t>
            </w:r>
          </w:p>
        </w:tc>
      </w:tr>
      <w:tr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F1 财务趋势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2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4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趋势平稳，无显著恶化。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H1 司法风险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0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4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实控人冻结/限高/立案，司法风险归零。</w:t>
            </w:r>
          </w:p>
        </w:tc>
      </w:tr>
    </w:tbl>
    <w:p>
      <w:pPr>
        <w:pStyle w:val="Heading1"/>
      </w:pPr>
      <w:r>
        <w:rPr>
          <w:color w:val="1A5276"/>
        </w:rPr>
        <w:t>三、逐维深度解读</w:t>
      </w:r>
    </w:p>
    <w:p>
      <w:pPr>
        <w:pStyle w:val="Heading2"/>
      </w:pPr>
      <w:r>
        <w:rPr>
          <w:color w:val="2E749B"/>
        </w:rPr>
        <w:t>3.1 市场与壳维度</w:t>
      </w:r>
    </w:p>
    <w:p>
      <w:r>
        <w:rPr>
          <w:b w:val="0"/>
        </w:rPr>
        <w:t>【C1 面值距离】得分 5/6。现价在3~8元区间，距面值退市线安全边际较大，面值通道无威胁。</w:t>
      </w:r>
    </w:p>
    <w:p>
      <w:r>
        <w:rPr>
          <w:b w:val="0"/>
        </w:rPr>
        <w:t>【C2 壳价值锚定】得分 0/8。市值显著高于壳基准，壳价值无优势。</w:t>
      </w:r>
    </w:p>
    <w:p>
      <w:pPr>
        <w:pStyle w:val="Heading2"/>
      </w:pPr>
      <w:r>
        <w:rPr>
          <w:color w:val="2E749B"/>
        </w:rPr>
        <w:t>3.2 实控人与股权维度</w:t>
      </w:r>
    </w:p>
    <w:p>
      <w:r>
        <w:rPr>
          <w:b w:val="0"/>
        </w:rPr>
        <w:t>【S1 实控人性质】得分 3/12。民企/个人实控，无国资兜底，保壳依赖自身资源与外部资本博弈。</w:t>
      </w:r>
    </w:p>
    <w:p>
      <w:r>
        <w:rPr>
          <w:b w:val="0"/>
        </w:rPr>
        <w:t>【S2 股权质押】得分 6/6。无质押/质押比例极低，控制权稳固，无平仓扰动。</w:t>
      </w:r>
    </w:p>
    <w:p>
      <w:pPr>
        <w:pStyle w:val="Heading2"/>
      </w:pPr>
      <w:r>
        <w:rPr>
          <w:color w:val="2E749B"/>
        </w:rPr>
        <w:t>3.3 财务健康维度</w:t>
      </w:r>
    </w:p>
    <w:p>
      <w:r>
        <w:rPr>
          <w:b w:val="0"/>
        </w:rPr>
        <w:t>【A1 净资产】得分 10/10。归母净资产非常充裕（≥10分档），资不抵债风险极低。</w:t>
      </w:r>
    </w:p>
    <w:p>
      <w:r>
        <w:rPr>
          <w:b w:val="0"/>
        </w:rPr>
        <w:t>【A2 扣非主营收入】得分 12/12。营收达标（主板≥3亿/双创≥1亿），财务类退市红线安全。</w:t>
      </w:r>
    </w:p>
    <w:p>
      <w:r>
        <w:rPr>
          <w:b w:val="0"/>
        </w:rPr>
        <w:t>【A3 扣非净利润】得分 3/6。微利或微亏，盈利面中性。</w:t>
      </w:r>
    </w:p>
    <w:p>
      <w:r>
        <w:rPr>
          <w:b w:val="0"/>
        </w:rPr>
        <w:t>【D1 现金流】得分 4/4。经营现金流为正，造血正常。</w:t>
      </w:r>
    </w:p>
    <w:p>
      <w:pPr>
        <w:pStyle w:val="Heading2"/>
      </w:pPr>
      <w:r>
        <w:rPr>
          <w:color w:val="2E749B"/>
        </w:rPr>
        <w:t>3.4 规范与违法维度</w:t>
      </w:r>
    </w:p>
    <w:p>
      <w:r>
        <w:rPr>
          <w:b w:val="0"/>
        </w:rPr>
        <w:t>【B1 立案/造假】得分 7/10。存在一般档行政处罚落地（无立案链条）或子公司被罚，非重大违法档。</w:t>
      </w:r>
    </w:p>
    <w:p>
      <w:r>
        <w:rPr>
          <w:b w:val="0"/>
        </w:rPr>
        <w:t>【B2 审计意见】得分 0/12。无法表示/否定意见，触发审计封顶。</w:t>
      </w:r>
    </w:p>
    <w:p>
      <w:pPr>
        <w:pStyle w:val="Heading2"/>
      </w:pPr>
      <w:r>
        <w:rPr>
          <w:color w:val="2E749B"/>
        </w:rPr>
        <w:t>3.5 重组与趋势维度</w:t>
      </w:r>
    </w:p>
    <w:p>
      <w:r>
        <w:rPr>
          <w:b w:val="0"/>
        </w:rPr>
        <w:t>【F2 重组纾困】得分 0/6。无重组/纾困信号，保壳依赖自身经营。</w:t>
      </w:r>
    </w:p>
    <w:p>
      <w:r>
        <w:rPr>
          <w:b w:val="0"/>
        </w:rPr>
        <w:t>【F1 财务趋势】得分 2/4。趋势平稳，无显著恶化。</w:t>
      </w:r>
    </w:p>
    <w:p>
      <w:pPr>
        <w:pStyle w:val="Heading2"/>
      </w:pPr>
      <w:r>
        <w:rPr>
          <w:color w:val="2E749B"/>
        </w:rPr>
        <w:t>3.6 司法风险维度</w:t>
      </w:r>
    </w:p>
    <w:p>
      <w:r>
        <w:rPr>
          <w:b w:val="0"/>
        </w:rPr>
        <w:t>【H1 司法风险】得分 0/4。实控人冻结/限高/立案，司法风险归零。</w:t>
      </w:r>
    </w:p>
    <w:p>
      <w:pPr>
        <w:pStyle w:val="Heading1"/>
      </w:pPr>
      <w:r>
        <w:rPr>
          <w:color w:val="1A5276"/>
        </w:rPr>
        <w:t>四、维度画像：安全垫 vs 风险源</w:t>
      </w:r>
    </w:p>
    <w:p>
      <w:r>
        <w:rPr>
          <w:b w:val="0"/>
        </w:rPr>
        <w:t>将13维按得分分为三档：安全垫（≥满分80%）、观察项（中间档）、风险源（≤满分50%）。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/>
            <w:r>
              <w:rPr>
                <w:b/>
                <w:sz w:val="18"/>
              </w:rPr>
              <w:t>分类</w:t>
            </w:r>
          </w:p>
        </w:tc>
        <w:tc>
          <w:tcPr>
            <w:tcW w:type="dxa" w:w="4320"/>
          </w:tcPr>
          <w:p>
            <w:r/>
            <w:r>
              <w:rPr>
                <w:b/>
                <w:sz w:val="18"/>
              </w:rPr>
              <w:t>维度（得分/满分）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✅ 安全垫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C1 面值距离(5/6)、S2 股权质押(6/6)、A1 净资产(10/10)、A2 扣非主营收入(12/12)、D1 现金流(4/4)</w:t>
            </w:r>
          </w:p>
        </w:tc>
      </w:tr>
      <w:tr>
        <w:tc>
          <w:tcPr>
            <w:tcW w:type="dxa" w:w="4320"/>
            <w:shd w:val="clear" w:fill="EAF1F8"/>
          </w:tcPr>
          <w:p>
            <w:r/>
            <w:r>
              <w:rPr>
                <w:sz w:val="18"/>
              </w:rPr>
              <w:t>👀 观察项</w:t>
            </w:r>
          </w:p>
        </w:tc>
        <w:tc>
          <w:tcPr>
            <w:tcW w:type="dxa" w:w="4320"/>
            <w:shd w:val="clear" w:fill="EAF1F8"/>
          </w:tcPr>
          <w:p>
            <w:r/>
            <w:r>
              <w:rPr>
                <w:sz w:val="18"/>
              </w:rPr>
              <w:t>B1 立案/造假(7/10)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⚠️ 风险源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C2 壳价值锚定(0/8)、S1 实控人性质(3/12)、A3 扣非净利润(3/6)、B2 审计意见(0/12)、F2 重组纾困(0/6)、F1 财务趋势(2/4)、H1 司法风险(0/4)</w:t>
            </w:r>
          </w:p>
        </w:tc>
      </w:tr>
    </w:tbl>
    <w:p>
      <w:pPr>
        <w:pStyle w:val="Heading1"/>
      </w:pPr>
      <w:r>
        <w:rPr>
          <w:color w:val="1A5276"/>
        </w:rPr>
        <w:t>五、保壳逻辑（模型解读）</w:t>
      </w:r>
    </w:p>
    <w:p>
      <w:r>
        <w:rPr>
          <w:b w:val="0"/>
        </w:rPr>
        <w:t>ST百灵（002424）当前V2保壳评分 50 分（C级），全榜第 113 名。安全垫维度：C1面值距离、S2股权质押、A1净资产、A2扣非主营收入、D1现金流。实控人为民企(个人)（姜伟），无国资兜底，保壳依赖自身资源与外部资本博弈。暂无重组/纾困信号，保壳主要依赖自身经营修复。市值64.57亿，高于基准壳费线，壳价不占优。</w:t>
      </w:r>
    </w:p>
    <w:p>
      <w:pPr>
        <w:pStyle w:val="Heading2"/>
      </w:pPr>
      <w:r>
        <w:rPr>
          <w:color w:val="2E749B"/>
        </w:rPr>
        <w:t>5.1 模型flags</w:t>
      </w:r>
    </w:p>
    <w:p>
      <w:r>
        <w:rPr>
          <w:b w:val="0"/>
          <w:sz w:val="18"/>
        </w:rPr>
        <w:t>有立案历史(已结)；董监高个人被立案/处罚；无法表示/否定意见；实控人冻结/立案</w:t>
      </w:r>
    </w:p>
    <w:p>
      <w:pPr>
        <w:pStyle w:val="Heading1"/>
      </w:pPr>
      <w:r>
        <w:rPr>
          <w:color w:val="1A5276"/>
        </w:rPr>
        <w:t>六、风险点清单</w:t>
      </w:r>
    </w:p>
    <w:p>
      <w:r>
        <w:rPr>
          <w:b/>
        </w:rPr>
        <w:t>风险源维度：C2壳价值锚定、S1实控人性质、A3扣非净利润、B2审计意见、F2重组纾困、F1财务趋势、H1司法风险。 审计意见为无法表示/否定意见（B2=0），总分封顶50分，是重大规范风险。 实控人存在冻结/限高/立案，司法风险归零。</w:t>
      </w:r>
    </w:p>
    <w:p>
      <w:r>
        <w:rPr>
          <w:b w:val="0"/>
        </w:rPr>
        <w:t>结合维度画像，风险源集中在上表「⚠️ 风险源」列，需逐项跟踪对应公告信号（立案/审计/质押/司法/营收红线）。</w:t>
      </w:r>
    </w:p>
    <w:p>
      <w:pPr>
        <w:pStyle w:val="Heading1"/>
      </w:pPr>
      <w:r>
        <w:rPr>
          <w:color w:val="1A5276"/>
        </w:rPr>
        <w:t>七、风险提示与研究局限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/>
            <w:r>
              <w:rPr>
                <w:b/>
                <w:color w:val="C0392B"/>
                <w:sz w:val="20"/>
              </w:rPr>
              <w:t>⚠️ 本报告由模型基于公开数据自动生成，仅供研究参考，不构成任何投资建议。</w:t>
            </w:r>
          </w:p>
          <w:p>
            <w:r>
              <w:rPr>
                <w:color w:val="7F5A1D"/>
                <w:sz w:val="19"/>
              </w:rPr>
              <w:t>评分模型V2在点时回测（《ST保壳评分系统V2三年回测报告_20260830.docx》）中总分AUC≈0.53接近随机，判别力主要来自 F2重组信号(0.657) 与 C1面值距离(0.635)；B1/B2封顶机制存在选择效应，高保壳分≠一定摘帽、低保壳分≠一定退市，需结合年报原文与最新公告二次核验。</w:t>
            </w:r>
          </w:p>
          <w:p>
            <w:r>
              <w:rPr>
                <w:color w:val="7F5A1D"/>
                <w:sz w:val="19"/>
              </w:rPr>
              <w:t>数据时点：榜单生成（财务报告期20251231），行情为当日快照；此后如有重大公告（立案/重组/审计更换）需重新评估。</w:t>
            </w:r>
          </w:p>
        </w:tc>
      </w:tr>
    </w:tbl>
    <w:p>
      <w:r>
        <w:rPr>
          <w:b w:val="0"/>
        </w:rPr>
      </w:r>
    </w:p>
    <w:p>
      <w:r>
        <w:rPr>
          <w:b w:val="0"/>
          <w:sz w:val="18"/>
        </w:rPr>
        <w:t>—— 报告完 ——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  <w:r>
      <w:rPr>
        <w:color w:val="AAAAAA"/>
        <w:sz w:val="16"/>
      </w:rPr>
      <w:t>本报告由ST保壳评分系统V2模型生成，仅供参考，不构成任何投资建议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/>
    <w:r>
      <w:rPr>
        <w:color w:val="888888"/>
        <w:sz w:val="16"/>
      </w:rPr>
      <w:t>ST摸鱼风云-V2 · 跟读报告｜ST百灵（002424）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微软雅黑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