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*ST卓然</w:t>
        <w:br/>
        <w:t>688121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155 名 ｜ 摸鱼指数 33.9 ｜ V2保壳分 26 ｜ D级 ｜ 全榜第 204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33.9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4.11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民企(法人)（张锦红,张新宇）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2/6。扣非持续亏损，主业亏损面承压。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壳价值锚定(8/8)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实控人性质(3/12)、S2 股权质押(0/6)、A1 净资产(3/10)、A2 扣非主营收入(3/12)、A3 扣非净利润(2/6)、D1 现金流(1/4)、B1 立案/造假(4/10)、B2 审计意见(0/12)、F2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*ST卓然（688121）当前V2保壳评分 26 分（D级），全榜第 204 名。安全垫维度：C2壳价值锚定。实控人为民企(法人)（张锦红,张新宇），无国资兜底，保壳依赖自身资源与外部资本博弈。暂无重组/纾困信号，保壳主要依赖自身经营修复。市值4.11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市值≤壳基准5折(并购机会区)；股份冻结；立案调查中；董监高个人被立案/处罚；无法表示/否定意见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风险源维度：C1面值距离、S1实控人性质、S2股权质押、A1净资产、A2扣非主营收入、A3扣非净利润、D1现金流、B1立案/造假、B2审计意见、F2重组纾困、F1财务趋势、H1司法风险。 营收未达标且扣非亏损，已触及「营收&lt;红线+亏损」财务类退市红线组合。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跟读报告｜*ST卓然（688121）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