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*ST康乐</w:t>
        <w:br/>
        <w:t>920575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156 名 ｜ 摸鱼指数 0.0 ｜ V2保壳分 39 ｜ C级 ｜ 全榜第 156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39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第156名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0.0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0.00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民企(个人)（陶涛）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北交所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现价在3~8元区间，距面值退市线安全边际较大，面值通道无威胁。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市值接近壳基准，平价区，壳价值中性。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民企/个人实控，无国资兜底，保壳依赖自身资源与外部资本博弈。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无质押/质押比例极低，控制权稳固，无平仓扰动。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净资产薄/资不抵债边缘，财务类退市风险显著。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营收严重不达标（接近0或微收），财务类退市风险极端。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扣非持续亏损，主业亏损面承压。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经营现金流为负，资金链压力大。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存在一般档行政处罚落地（无立案链条）或子公司被罚，非重大违法档。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保留意见，审计瑕疵存在，需消除后才能摘帽。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无重组/纾困信号，保壳依赖自身经营。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趋势平稳，无显著恶化。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存在一定司法风险信号。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5/6。现价在3~8元区间，距面值退市线安全边际较大，面值通道无威胁。</w:t>
      </w:r>
    </w:p>
    <w:p>
      <w:r>
        <w:rPr>
          <w:b w:val="0"/>
        </w:rPr>
        <w:t>【C2 壳价值锚定】得分 4/8。市值接近壳基准，平价区，壳价值中性。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3/12。民企/个人实控，无国资兜底，保壳依赖自身资源与外部资本博弈。</w:t>
      </w:r>
    </w:p>
    <w:p>
      <w:r>
        <w:rPr>
          <w:b w:val="0"/>
        </w:rPr>
        <w:t>【S2 股权质押】得分 6/6。无质押/质押比例极低，控制权稳固，无平仓扰动。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3/10。净资产薄/资不抵债边缘，财务类退市风险显著。</w:t>
      </w:r>
    </w:p>
    <w:p>
      <w:r>
        <w:rPr>
          <w:b w:val="0"/>
        </w:rPr>
        <w:t>【A2 扣非主营收入】得分 0/12。营收严重不达标（接近0或微收），财务类退市风险极端。</w:t>
      </w:r>
    </w:p>
    <w:p>
      <w:r>
        <w:rPr>
          <w:b w:val="0"/>
        </w:rPr>
        <w:t>【A3 扣非净利润】得分 0/6。扣非持续亏损，主业亏损面承压。</w:t>
      </w:r>
    </w:p>
    <w:p>
      <w:r>
        <w:rPr>
          <w:b w:val="0"/>
        </w:rPr>
        <w:t>【D1 现金流】得分 1/4。经营现金流为负，资金链压力大。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7/10。存在一般档行政处罚落地（无立案链条）或子公司被罚，非重大违法档。</w:t>
      </w:r>
    </w:p>
    <w:p>
      <w:r>
        <w:rPr>
          <w:b w:val="0"/>
        </w:rPr>
        <w:t>【B2 审计意见】得分 6/12。保留意见，审计瑕疵存在，需消除后才能摘帽。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0/6。无重组/纾困信号，保壳依赖自身经营。</w:t>
      </w:r>
    </w:p>
    <w:p>
      <w:r>
        <w:rPr>
          <w:b w:val="0"/>
        </w:rPr>
        <w:t>【F1 财务趋势】得分 2/4。趋势平稳，无显著恶化。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2/4。存在一定司法风险信号。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C1 面值距离(5/6)、S2 股权质押(6/6)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B1 立案/造假(7/10)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C2 壳价值锚定(4/8)、S1 实控人性质(3/12)、A1 净资产(3/10)、A2 扣非主营收入(0/12)、A3 扣非净利润(0/6)、D1 现金流(1/4)、B2 审计意见(6/12)、F2 重组纾困(0/6)、F1 财务趋势(2/4)、H1 司法风险(2/4)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*ST康乐（920575）当前V2保壳评分 39 分（C级），全榜第 156 名。安全垫维度：C1面值距离、S2股权质押。实控人为民企(个人)（陶涛），无国资兜底，保壳依赖自身资源与外部资本博弈。暂无重组/纾困信号，保壳主要依赖自身经营修复。市值数据缺失，未纳入摸鱼池，壳价值维度暂不评估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北交所数据降级；无质押；营收缺口100%且已戴*ST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风险源维度：C2壳价值锚定、S1实控人性质、A1净资产、A2扣非主营收入、A3扣非净利润、D1现金流、B2审计意见、F2重组纾困、F1财务趋势、H1司法风险。 营收未达标且扣非亏损，已触及「营收&lt;红线+亏损」财务类退市红线组合。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跟读报告｜*ST康乐（920575）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