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*ST华幸</w:t>
        <w:br/>
        <w:t>600340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157 名 ｜ 摸鱼指数 33.6 ｜ V2保壳分 39 ｜ C级 ｜ 全榜第 155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第155名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33.6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42.44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1.09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民企(个人)（王文学）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0/6。现价已跌破或濒临1元面值线，面值退市风险极端。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面值距离(0/6)、C2 壳价值锚定(2/8)、S1 实控人性质(3/12)、S2 股权质押(0/6)、A1 净资产(0/10)、A3 扣非净利润(0/6)、D1 现金流(0/4)、B2 审计意见(6/12)、F1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*ST华幸（600340）当前V2保壳评分 39 分（C级），全榜第 155 名。安全垫维度：A2扣非主营收入、B1立案/造假。实控人为民企(个人)（王文学），无国资兜底，保壳依赖自身资源与外部资本博弈。重组/预重整正在推进，保壳有实质抓手。市值42.44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面值退市警戒；股份冻结；资不抵债；保留意见；申请/预重整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风险源维度：C1面值距离、C2壳价值锚定、S1实控人性质、S2股权质押、A1净资产、A3扣非净利润、D1现金流、B2审计意见、F1财务趋势、H1司法风险。 股价贴近或跌破1元面值线（C1≤1），面值退市危机显著。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跟读报告｜*ST华幸（600340）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