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*ST同辉</w:t>
        <w:br/>
        <w:t>920090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157 名 ｜ 摸鱼指数 0.0 ｜ V2保壳分 39 ｜ C级 ｜ 全榜第 157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第157名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民企(个人)（戴福昊）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北交所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存在一定司法风险信号。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0/12。营收严重不达标（接近0或微收），财务类退市风险极端。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1/4。经营现金流为负，资金链压力大。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2/4。存在一定司法风险信号。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面值距离(5/6)、S2 股权质押(6/6)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实控人性质(3/12)、A1 净资产(3/10)、A2 扣非主营收入(0/12)、A3 扣非净利润(0/6)、D1 现金流(1/4)、B2 审计意见(6/12)、F2 重组纾困(0/6)、F1 财务趋势(2/4)、H1 司法风险(2/4)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*ST同辉（920090）当前V2保壳评分 39 分（C级），全榜第 157 名。安全垫维度：C1面值距离、S2股权质押。实控人为民企(个人)（戴福昊），无国资兜底，保壳依赖自身资源与外部资本博弈。暂无重组/纾困信号，保壳主要依赖自身经营修复。市值数据缺失，未纳入摸鱼池，壳价值维度暂不评估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北交所数据降级；无质押；营收缺口89%且已戴*ST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风险源维度：C2壳价值锚定、S1实控人性质、A1净资产、A2扣非主营收入、A3扣非净利润、D1现金流、B2审计意见、F2重组纾困、F1财务趋势、H1司法风险。 营收未达标且扣非亏损，已触及「营收&lt;红线+亏损」财务类退市红线组合。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跟读报告｜*ST同辉（920090）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