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*ST禾信</w:t>
        <w:br/>
        <w:t>688622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158 名 ｜ 摸鱼指数 33.2 ｜ V2保壳分 47 ｜ C级 ｜ 全榜第 126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92.88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民企(个人)（周振）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股权质押(0/6)、A2 扣非主营收入(6/12)、A3 扣非净利润(0/6)、D1 现金流(2/4)、F2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*ST禾信（688622）当前V2保壳评分 47 分（C级），全榜第 126 名。安全垫维度：C1面值距离、B1立案/造假、B2审计意见。实控人为民企(个人)（周振），无国资兜底，保壳依赖自身资源与外部资本博弈。已有出售资产/债务豁免等保壳动作，但尚未形成重组级信号。市值65.45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股份冻结；营收缺口10%且已戴*ST；出售资产/债务豁免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跟读报告｜*ST禾信（688622）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