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*ST三房</w:t>
        <w:br/>
        <w:t>600370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161 名 ｜ 摸鱼指数 32.3 ｜ V2保壳分 45 ｜ C级 ｜ 全榜第 135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65.17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民企(个人)（卞平刚）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净资产(10/10)、A2 扣非主营收入(12/12)、D1 现金流(4/4)、B1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壳价值锚定(0/8)、S1 实控人性质(3/12)、S2 股权质押(0/6)、A3 扣非净利润(0/6)、B2 审计意见(0/12)、F2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*ST三房（600370）当前V2保壳评分 45 分（C级），全榜第 135 名。安全垫维度：A1净资产、A2扣非主营收入、D1现金流、B1立案/造假、F1财务趋势。实控人为民企(个人)（卞平刚），无国资兜底，保壳依赖自身资源与外部资本博弈。暂无重组/纾困信号，保壳主要依赖自身经营修复。市值65.17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股份冻结；高质押79%；无法表示/否定意见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风险源维度：C1面值距离、C2壳价值锚定、S1实控人性质、S2股权质押、A3扣非净利润、B2审计意见、F2重组纾困、H1司法风险。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跟读报告｜*ST三房（600370）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