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*ST正平</w:t>
        <w:br/>
        <w:t>603843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162 名 ｜ 摸鱼指数 32.3 ｜ V2保壳分 41 ｜ C级 ｜ 全榜第 149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第149名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32.3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53.17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7.6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民企(法人)（金生光,金生辉,李建莉）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面值距离(6/6)、A2 扣非主营收入(12/12)、B1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A1 净资产(6/10)、F2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实控人性质(3/12)、S2 股权质押(0/6)、A3 扣非净利润(0/6)、D1 现金流(0/4)、B2 审计意见(0/12)、F1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*ST正平（603843）当前V2保壳评分 41 分（C级），全榜第 149 名。安全垫维度：C1面值距离、A2扣非主营收入、B1立案/造假。实控人为民企(法人)（金生光,金生辉,李建莉），无国资兜底，保壳依赖自身资源与外部资本博弈。重组/预重整正在推进，保壳有实质抓手。市值53.17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股份冻结；无法表示/否定意见；申请/预重整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风险源维度：C2壳价值锚定、S1实控人性质、S2股权质押、A3扣非净利润、D1现金流、B2审计意见、F1财务趋势、H1司法风险。 审计意见为无法表示/否定意见（B2=0），总分封顶50分，是重大规范风险。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跟读报告｜*ST正平（603843）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