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ST星农</w:t>
        <w:br/>
        <w:t>603789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166 名 ｜ 摸鱼指数 26.7 ｜ V2保壳分 30 ｜ D级 ｜ 全榜第 190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26.7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民企(个人)（叶进）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股权质押(6/6)、A2 扣非主营收入(12/12)、F1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A1 净资产(6/10)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实控人性质(3/12)、A3 扣非净利润(3/6)、D1 现金流(0/4)、B1 立案/造假(0/10)、B2 审计意见(6/12)、F2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ST星农（603789）当前V2保壳评分 30 分（D级），全榜第 190 名。安全垫维度：C1面值距离、C2壳价值锚定、S2股权质押、A2扣非主营收入、F1财务趋势、H1司法风险。实控人为民企(个人)（叶进），无国资兜底，保壳依赖自身资源与外部资本博弈。暂无重组/纾困信号，保壳主要依赖自身经营修复。市值16.50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风险源维度：S1实控人性质、A3扣非净利润、D1现金流、B1立案/造假、B2审计意见、F2重组纾困。 重大违法处罚落地（B1=0），总分封顶30分，退市锁定风险极高。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跟读报告｜ST星农（603789）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