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ST嘉应</w:t>
        <w:br/>
        <w:t>002198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168 名 ｜ 摸鱼指数 26.4 ｜ V2保壳分 30 ｜ D级 ｜ 全榜第 172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D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第172名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26.4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17.66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3.48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无实控人（无）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现价在3~8元区间，距面值退市线安全边际较大，面值通道无威胁。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市值处于壳基准5折~8折折价区，并购成本有吸引力。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归母净资产充裕，无资不抵债风险，财务退市线安全。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扣非净利润为正，主业造血正常，盈利面无退市压力。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重大违法处罚落地（立案→处罚全链条），触发封顶（总分≤30）。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无法表示/否定意见，触发审计封顶。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有出售资产/债务豁免等保壳动作，但尚未形成重组级信号。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趋势转弱/恶化，经营下行。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5/6。现价在3~8元区间，距面值退市线安全边际较大，面值通道无威胁。</w:t>
      </w:r>
    </w:p>
    <w:p>
      <w:r>
        <w:rPr>
          <w:b w:val="0"/>
        </w:rPr>
        <w:t>【C2 壳价值锚定】得分 6/8。市值处于壳基准5折~8折折价区，并购成本有吸引力。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1/12。民企/个人实控，无国资兜底，保壳依赖自身资源与外部资本博弈。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8/10。归母净资产充裕，无资不抵债风险，财务退市线安全。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6/6。扣非净利润为正，主业造血正常，盈利面无退市压力。</w:t>
      </w:r>
    </w:p>
    <w:p>
      <w:r>
        <w:rPr>
          <w:b w:val="0"/>
        </w:rPr>
        <w:t>【D1 现金流】得分 2/4。现金流接近平衡。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0/10。重大违法处罚落地（立案→处罚全链条），触发封顶（总分≤30）。</w:t>
      </w:r>
    </w:p>
    <w:p>
      <w:r>
        <w:rPr>
          <w:b w:val="0"/>
        </w:rPr>
        <w:t>【B2 审计意见】得分 0/12。无法表示/否定意见，触发审计封顶。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2/6。有出售资产/债务豁免等保壳动作，但尚未形成重组级信号。</w:t>
      </w:r>
    </w:p>
    <w:p>
      <w:r>
        <w:rPr>
          <w:b w:val="0"/>
        </w:rPr>
        <w:t>【F1 财务趋势】得分 0/4。趋势转弱/恶化，经营下行。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面值距离(5/6)、S2 股权质押(6/6)、A1 净资产(8/10)、A2 扣非主营收入(12/12)、A3 扣非净利润(6/6)、H1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C2 壳价值锚定(6/8)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S1 实控人性质(1/12)、D1 现金流(2/4)、B1 立案/造假(0/10)、B2 审计意见(0/12)、F2 重组纾困(2/6)、F1 财务趋势(0/4)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ST嘉应（002198）当前V2保壳评分 30 分（D级），全榜第 172 名。安全垫维度：C1面值距离、S2股权质押、A1净资产、A2扣非主营收入、A3扣非净利润、H1司法风险。公司当前无实控人，治理结构与保壳主导权存在不确定性。已有出售资产/债务豁免等保壳动作，但尚未形成重组级信号。市值17.66亿，处于基准壳费线5~8折折价区，并购成本有吸引力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扣非盈利；行政处罚落地(重大:立案→处罚全链条)；无法表示/否定意见；出售资产/债务豁免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风险源维度：S1实控人性质、D1现金流、B1立案/造假、B2审计意见、F2重组纾困、F1财务趋势。 重大违法处罚落地（B1=0），总分封顶30分，退市锁定风险极高。 审计意见为无法表示/否定意见（B2=0），总分封顶50分，是重大规范风险。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跟读报告｜ST嘉应（002198）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