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ST南新</w:t>
        <w:br/>
        <w:t>688189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169 名 ｜ 摸鱼指数 26.1 ｜ V2保壳分 30 ｜ D级 ｜ 全榜第 169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省级国资（湖南省人民政府国有资产监督管理委员会）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实控人性质(10/12)、S2 股权质押(6/6)、A1 净资产(8/10)、A2 扣非主营收入(12/12)、D1 现金流(4/4)、B2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扣非净利润(3/6)、B1 立案/造假(0/10)、F2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ST南新（688189）当前V2保壳评分 30 分（D级），全榜第 169 名。安全垫维度：C1面值距离、S1实控人性质、S2股权质押、A1净资产、A2扣非主营收入、D1现金流、B2审计意见、H1司法风险。实控人为省级国资（湖南省人民政府国有资产监督管理委员会），具备省级政府信用背书与资源整合能力。已有出售资产/债务豁免等保壳动作，但尚未形成重组级信号。市值18.06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实控人：湖南省人民政府国有资产监督管理委员会（省级国资）；无质押；行政处罚落地(重大:立案→处罚全链条)；出售资产/债务豁免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风险源维度：A3扣非净利润、B1立案/造假、F2重组纾困、F1财务趋势。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跟读报告｜ST南新（688189）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