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*ST尔雅</w:t>
        <w:br/>
        <w:t>600107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173 名 ｜ 摸鱼指数 25.2 ｜ V2保壳分 30 ｜ D级 ｜ 全榜第 191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20.81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民企(个人)（郑继平）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股权质押(0/6)、A2 扣非主营收入(3/12)、A3 扣非净利润(0/6)、D1 现金流(2/4)、B1 立案/造假(0/10)、B2 审计意见(6/12)、F2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*ST尔雅（600107）当前V2保壳评分 30 分（D级），全榜第 191 名。安全垫维度：C1面值距离。实控人为民企(个人)（郑继平），无国资兜底，保壳依赖自身资源与外部资本博弈。已有出售资产/债务豁免等保壳动作，但尚未形成重组级信号。市值20.81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股份冻结；营收缺口24%且已戴*ST；行政处罚落地(重大:立案→处罚全链条)；保留意见；出售资产/债务豁免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风险源维度：S1实控人性质、S2股权质押、A2扣非主营收入、A3扣非净利润、D1现金流、B1立案/造假、B2审计意见、F2重组纾困、F1财务趋势、H1司法风险。 营收未达标且扣非亏损，已触及「营收&lt;红线+亏损」财务类退市红线组合。 重大违法处罚落地（B1=0），总分封顶30分，退市锁定风险极高。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跟读报告｜*ST尔雅（600107）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