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ST东时</w:t>
        <w:br/>
        <w:t>603377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174 名 ｜ 摸鱼指数 25.2 ｜ V2保壳分 30 ｜ D级 ｜ 全榜第 197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20.89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2.89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面值距离(4/6)、C2 壳价值锚定(6/8)、A1 净资产(6/10)、F2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实控人性质(1/12)、S2 股权质押(0/6)、A3 扣非净利润(3/6)、B1 立案/造假(0/10)、B2 审计意见(0/12)、F1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ST东时（603377）当前V2保壳评分 30 分（D级），全榜第 197 名。安全垫维度：A2扣非主营收入、D1现金流。公司当前无实控人，治理结构与保壳主导权存在不确定性。重组/预重整正在推进，保壳有实质抓手。市值20.89亿，处于基准壳费线5~8折折价区，并购成本有吸引力。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股份冻结；行政处罚落地(重大:立案→处罚全链条)；无法表示/否定意见；申请/预重整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风险源维度：S1实控人性质、S2股权质押、A3扣非净利润、B1立案/造假、B2审计意见、F1财务趋势、H1司法风险。 重大违法处罚落地（B1=0），总分封顶30分，退市锁定风险极高。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跟读报告｜ST东时（603377）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