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ST百利</w:t>
        <w:br/>
        <w:t>603959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175 名 ｜ 摸鱼指数 25.2 ｜ V2保壳分 30 ｜ D级 ｜ 全榜第 198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第198名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25.2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21.28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4.34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无实控人（无）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面值距离(5/6)、A2 扣非主营收入(12/12)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实控人性质(1/12)、S2 股权质押(0/6)、A1 净资产(3/10)、A3 扣非净利润(3/6)、D1 现金流(0/4)、B1 立案/造假(0/10)、B2 审计意见(6/12)、F1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ST百利（603959）当前V2保壳评分 30 分（D级），全榜第 198 名。安全垫维度：C1面值距离、A2扣非主营收入。公司当前无实控人，治理结构与保壳主导权存在不确定性。重组/预重整正在推进，保壳有实质抓手。市值21.28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股份冻结；行政处罚落地(重大:立案→处罚全链条)；保留意见；申请/预重整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风险源维度：S1实控人性质、S2股权质押、A1净资产、A3扣非净利润、D1现金流、B1立案/造假、B2审计意见、F1财务趋势、H1司法风险。 重大违法处罚落地（B1=0），总分封顶30分，退市锁定风险极高。 经营现金流为负，资金链压力较大。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跟读报告｜ST百利（603959）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