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ST瑞贝卡</w:t>
        <w:br/>
        <w:t>600439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176 名 ｜ 摸鱼指数 24.9 ｜ V2保壳分 30 ｜ D级 ｜ 全榜第 166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第166名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24.9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21.96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1.94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民企(个人)（郑有全）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2/6。扣非持续亏损，主业亏损面承压。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S2 股权质押(6/6)、H1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面值距离(2/6)、S1 实控人性质(3/12)、A1 净资产(3/10)、A2 扣非主营收入(3/12)、A3 扣非净利润(2/6)、D1 现金流(1/4)、B1 立案/造假(0/10)、B2 审计意见(6/12)、F2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ST瑞贝卡（600439）当前V2保壳评分 30 分（D级），全榜第 166 名。安全垫维度：S2股权质押、H1司法风险。实控人为民企(个人)（郑有全），无国资兜底，保壳依赖自身资源与外部资本博弈。暂无重组/纾困信号，保壳主要依赖自身经营修复。市值21.96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风险源维度：C1面值距离、S1实控人性质、A1净资产、A2扣非主营收入、A3扣非净利润、D1现金流、B1立案/造假、B2审计意见、F2重组纾困、F1财务趋势。 营收未达标且扣非亏损，已触及「营收&lt;红线+亏损」财务类退市红线组合。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跟读报告｜ST瑞贝卡（600439）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