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ST葫芦娃</w:t>
        <w:br/>
        <w:t>605199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178 名 ｜ 摸鱼指数 24.3 ｜ V2保壳分 30 ｜ D级 ｜ 全榜第 192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24.05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民企(法人)（刘景萍,汤旭东）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扣非净利润(3/6)、B1 立案/造假(0/10)、B2 审计意见(0/12)、F2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ST葫芦娃（605199）当前V2保壳评分 30 分（D级），全榜第 192 名。安全垫维度：C1面值距离、A2扣非主营收入、D1现金流。实控人为民企(法人)（刘景萍,汤旭东），无国资兜底，保壳依赖自身资源与外部资本博弈。暂无重组/纾困信号，保壳主要依赖自身经营修复。市值24.05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股份冻结；行政处罚落地(重大:立案→处罚全链条)；无法表示/否定意见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风险源维度：S1实控人性质、S2股权质押、A3扣非净利润、B1立案/造假、B2审计意见、F2重组纾困、F1财务趋势、H1司法风险。 重大违法处罚落地（B1=0），总分封顶30分，退市锁定风险极高。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跟读报告｜ST葫芦娃（605199）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