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ST交昂</w:t>
        <w:br/>
        <w:t>600530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180 名 ｜ 摸鱼指数 23.1 ｜ V2保壳分 30 ｜ D级 ｜ 全榜第 203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第203名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30.22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民企(个人)（嵇霖）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市值接近壳基准，平价区，壳价值中性。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4/8。市值接近壳基准，平价区，壳价值中性。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3/12。营收缺口大（触及「营收&lt;红线+亏损」组合），已构成财务类退市风险。</w:t>
      </w:r>
    </w:p>
    <w:p>
      <w:r>
        <w:rPr>
          <w:b w:val="0"/>
        </w:rPr>
        <w:t>【A3 扣非净利润】得分 2/6。扣非持续亏损，主业亏损面承压。</w:t>
      </w:r>
    </w:p>
    <w:p>
      <w:r>
        <w:rPr>
          <w:b w:val="0"/>
        </w:rPr>
        <w:t>【D1 现金流】得分 1/4。经营现金流为负，资金链压力大。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壳价值锚定(4/8)、S1 实控人性质(3/12)、A1 净资产(3/10)、A2 扣非主营收入(3/12)、A3 扣非净利润(2/6)、D1 现金流(1/4)、B1 立案/造假(0/10)、B2 审计意见(6/12)、F2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ST交昂（600530）当前V2保壳评分 30 分（D级），全榜第 203 名。安全垫维度：C1面值距离、S2股权质押、H1司法风险。实控人为民企(个人)（嵇霖），无国资兜底，保壳依赖自身资源与外部资本博弈。暂无重组/纾困信号，保壳主要依赖自身经营修复。市值30.22亿，接近基准壳费线，壳价值中性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风险源维度：C2壳价值锚定、S1实控人性质、A1净资产、A2扣非主营收入、A3扣非净利润、D1现金流、B1立案/造假、B2审计意见、F2重组纾困、F1财务趋势。 营收未达标且扣非亏损，已触及「营收&lt;红线+亏损」财务类退市红线组合。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跟读报告｜ST交昂（600530）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