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*ST泉为</w:t>
        <w:br/>
        <w:t>300716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186 名 ｜ 摸鱼指数 21.3 ｜ V2保壳分 24 ｜ D级 ｜ 全榜第 206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第206名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21.3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30.39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18.99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民企(个人)（褚一凡）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0/12。营收严重不达标（接近0或微收），财务类退市风险极端。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实控人性质(3/12)、S2 股权质押(0/6)、A1 净资产(0/10)、A2 扣非主营收入(0/12)、A3 扣非净利润(0/6)、D1 现金流(0/4)、B2 审计意见(0/12)、F1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*ST泉为（300716）当前V2保壳评分 24 分（D级），全榜第 206 名。安全垫维度：C1面值距离。实控人为民企(个人)（褚一凡），无国资兜底，保壳依赖自身资源与外部资本博弈。重组/预重整正在推进，保壳有实质抓手。市值30.39亿，接近基准壳费线，壳价值中性。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股份冻结；资不抵债；营收缺口55%且已戴*ST；行政处罚落地(一般)；董监高个人被立案/处罚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风险源维度：C2壳价值锚定、S1实控人性质、S2股权质押、A1净资产、A2扣非主营收入、A3扣非净利润、D1现金流、B2审计意见、F1财务趋势、H1司法风险。 营收未达标且扣非亏损，已触及「营收&lt;红线+亏损」财务类退市红线组合。 审计意见为无法表示/否定意见（B2=0），总分封顶50分，是重大规范风险。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跟读报告｜*ST泉为（300716）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