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ST京机</w:t>
        <w:br/>
        <w:t>000821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189 名 ｜ 摸鱼指数 20.4 ｜ V2保壳分 30 ｜ D级 ｜ 全榜第 180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第180名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20.4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45.66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7.33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民企(个人)（李健）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市值高于壳基准，并购溢价区，壳价值不突出。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重大违法处罚落地（立案→处罚全链条），触发封顶（总分≤30）。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标准无保留审计意见，审计面干净。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有出售资产/债务豁免等保壳动作，但尚未形成重组级信号。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2/8。市值高于壳基准，并购溢价区，壳价值不突出。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6/6。扣非净利润为正，主业造血正常，盈利面无退市压力。</w:t>
      </w:r>
    </w:p>
    <w:p>
      <w:r>
        <w:rPr>
          <w:b w:val="0"/>
        </w:rPr>
        <w:t>【D1 现金流】得分 2/4。现金流接近平衡。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0/10。重大违法处罚落地（立案→处罚全链条），触发封顶（总分≤30）。</w:t>
      </w:r>
    </w:p>
    <w:p>
      <w:r>
        <w:rPr>
          <w:b w:val="0"/>
        </w:rPr>
        <w:t>【B2 审计意见】得分 12/12。标准无保留审计意见，审计面干净。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2/6。有出售资产/债务豁免等保壳动作，但尚未形成重组级信号。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面值距离(6/6)、S2 股权质押(6/6)、A1 净资产(10/10)、A2 扣非主营收入(12/12)、A3 扣非净利润(6/6)、B2 审计意见(12/12)、H1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（无）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壳价值锚定(2/8)、S1 实控人性质(3/12)、D1 现金流(2/4)、B1 立案/造假(0/10)、F2 重组纾困(2/6)、F1 财务趋势(0/4)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ST京机（000821）当前V2保壳评分 30 分（D级），全榜第 180 名。安全垫维度：C1面值距离、S2股权质押、A1净资产、A2扣非主营收入、A3扣非净利润、B2审计意见、H1司法风险。实控人为民企(个人)（李健），无国资兜底，保壳依赖自身资源与外部资本博弈。已有出售资产/债务豁免等保壳动作，但尚未形成重组级信号。市值45.66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扣非盈利；行政处罚落地(重大:立案→处罚全链条)；出售资产/债务豁免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风险源维度：C2壳价值锚定、S1实控人性质、D1现金流、B1立案/造假、F2重组纾困、F1财务趋势。 重大违法处罚落地（B1=0），总分封顶30分，退市锁定风险极高。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跟读报告｜ST京机（000821）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