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ST东尼</w:t>
        <w:br/>
        <w:t>603595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196 名 ｜ 摸鱼指数 18.6 ｜ V2保壳分 30 ｜ D级 ｜ 全榜第 184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第184名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18.6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61.20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26.33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民企(法人)（沈晓宇,沈新芳）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质押或冻结存在（历史口径缺失取中性档），控制权有潜在扰动。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趋势平稳，无显著恶化。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4/6。质押或冻结存在（历史口径缺失取中性档），控制权有潜在扰动。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2/4。趋势平稳，无显著恶化。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净资产(10/10)、A2 扣非主营收入(12/12)、D1 现金流(4/4)、B2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S2 股权质押(4/6)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壳价值锚定(0/8)、S1 实控人性质(3/12)、A3 扣非净利润(3/6)、B1 立案/造假(0/10)、F2 重组纾困(0/6)、F1 财务趋势(2/4)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ST东尼（603595）当前V2保壳评分 30 分（D级），全榜第 184 名。安全垫维度：C1面值距离、A1净资产、A2扣非主营收入、D1现金流、B2审计意见、H1司法风险。实控人为民企(法人)（沈晓宇,沈新芳），无国资兜底，保壳依赖自身资源与外部资本博弈。暂无重组/纾困信号，保壳主要依赖自身经营修复。市值61.20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行政处罚落地(重大:立案→处罚全链条)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风险源维度：C2壳价值锚定、S1实控人性质、A3扣非净利润、B1立案/造假、F2重组纾困、F1财务趋势。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跟读报告｜ST东尼（603595）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