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ST太重</w:t>
        <w:br/>
        <w:t>600169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197 名 ｜ 摸鱼指数 18.0 ｜ V2保壳分 30 ｜ D级 ｜ 全榜第 183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第183名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18.0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69.00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2.07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省级国资（山西省人民政府国有资产监督管理委员会）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实控人性质(10/12)、S2 股权质押(6/6)、A1 净资产(10/10)、A2 扣非主营收入(12/12)、A3 扣非净利润(6/6)、D1 现金流(4/4)、B2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壳价值锚定(0/8)、B1 立案/造假(0/10)、F2 重组纾困(2/6)、F1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ST太重（600169）当前V2保壳评分 30 分（D级），全榜第 183 名。安全垫维度：S1实控人性质、S2股权质押、A1净资产、A2扣非主营收入、A3扣非净利润、D1现金流、B2审计意见、H1司法风险。实控人为省级国资（山西省人民政府国有资产监督管理委员会），具备省级政府信用背书与资源整合能力。已有出售资产/债务豁免等保壳动作，但尚未形成重组级信号。市值69.00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实控人：山西省人民政府国有资产监督管理委员会（省级国资）；无质押；扣非盈利；行政处罚落地(重大:立案→处罚全链条)；出售资产/债务豁免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风险源维度：C2壳价值锚定、B1立案/造假、F2重组纾困、F1财务趋势。 重大违法处罚落地（B1=0），总分封顶30分，退市锁定风险极高。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跟读报告｜ST太重（600169）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