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ST际华</w:t>
        <w:br/>
        <w:t>601718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198 名 ｜ 摸鱼指数 17.1 ｜ V2保壳分 30 ｜ D级 ｜ 全榜第 173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D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第173名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17.1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81.55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1.87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央企（国务院国有资产监督管理委员会）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现价已跌破或濒临1元面值线，面值退市风险极端。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市值显著高于壳基准，壳价值无优势。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2/6。现价已跌破或濒临1元面值线，面值退市风险极端。</w:t>
      </w:r>
    </w:p>
    <w:p>
      <w:r>
        <w:rPr>
          <w:b w:val="0"/>
        </w:rPr>
        <w:t>【C2 壳价值锚定】得分 0/8。市值显著高于壳基准，壳价值无优势。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10/10。归母净资产非常充裕（≥10分档），资不抵债风险极低。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2/4。现金流接近平衡。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0/10。重大违法处罚落地（立案→处罚全链条），触发封顶（总分≤30）。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股权质押(6/6)、A1 净资产(10/10)、A2 扣非主营收入(12/12)、H1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面值距离(2/6)、C2 壳价值锚定(0/8)、A3 扣非净利润(3/6)、D1 现金流(2/4)、B1 立案/造假(0/10)、B2 审计意见(6/12)、F2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ST际华（601718）当前V2保壳评分 30 分（D级），全榜第 173 名。安全垫维度：S1实控人性质、S2股权质押、A1净资产、A2扣非主营收入、H1司法风险。实控人为央企（国务院国有资产监督管理委员会），国资信用与资源协调能力构成最强保壳兜底。暂无重组/纾困信号，保壳主要依赖自身经营修复。市值81.55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实控人：国务院国有资产监督管理委员会（央企）；无质押；行政处罚落地(重大:立案→处罚全链条)；保留意见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风险源维度：C1面值距离、C2壳价值锚定、A3扣非净利润、D1现金流、B1立案/造假、B2审计意见、F2重组纾困、F1财务趋势。 重大违法处罚落地（B1=0），总分封顶30分，退市锁定风险极高。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跟读报告｜ST际华（601718）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