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ST天际</w:t>
        <w:br/>
        <w:t>002759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200 名 ｜ 摸鱼指数 16.5 ｜ V2保壳分 30 ｜ D级 ｜ 全榜第 167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89.25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民企(法人)（池锦华,吴锡盾）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2/6。扣非持续亏损，主业亏损面承压。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实控人性质(3/12)、A1 净资产(3/10)、A2 扣非主营收入(3/12)、A3 扣非净利润(2/6)、D1 现金流(1/4)、B1 立案/造假(0/10)、F2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ST天际（002759）当前V2保壳评分 30 分（D级），全榜第 167 名。安全垫维度：C1面值距离、S2股权质押、F1财务趋势、H1司法风险。实控人为民企(法人)（池锦华,吴锡盾），无国资兜底，保壳依赖自身资源与外部资本博弈。暂无重组/纾困信号，保壳主要依赖自身经营修复。市值89.25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风险源维度：C2壳价值锚定、S1实控人性质、A1净资产、A2扣非主营收入、A3扣非净利润、D1现金流、B1立案/造假、F2重组纾困。 营收未达标且扣非亏损，已触及「营收&lt;红线+亏损」财务类退市红线组合。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跟读报告｜ST天际（002759）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