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ST洲际</w:t>
        <w:br/>
        <w:t>600759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202 名 ｜ 摸鱼指数 15.3 ｜ V2保壳分 30 ｜ D级 ｜ 全榜第 200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D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第200名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15.3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21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106.63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2.57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民企(个人)（许玲）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主板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现价在2~3元区间，距面值退市红线中等距离，需盯住低价波动。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市值显著高于壳基准，壳价值无优势。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民企/个人实控，无国资兜底，保壳依赖自身资源与外部资本博弈。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无质押/质押比例极低，控制权稳固，无平仓扰动。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归母净资产非常充裕（≥10分档），资不抵债风险极低。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扣非净利润为正，主业造血正常，盈利面无退市压力。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经营现金流为正，造血正常。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重大违法处罚落地（立案→处罚全链条），触发封顶（总分≤30）。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保留意见，审计瑕疵存在，需消除后才能摘帽。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无重组/纾困信号，保壳依赖自身经营。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营收/扣非趋势改善，经营向上。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实控人无冻结/限高/立案，司法面无风险。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4/6。现价在2~3元区间，距面值退市红线中等距离，需盯住低价波动。</w:t>
      </w:r>
    </w:p>
    <w:p>
      <w:r>
        <w:rPr>
          <w:b w:val="0"/>
        </w:rPr>
        <w:t>【C2 壳价值锚定】得分 0/8。市值显著高于壳基准，壳价值无优势。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3/12。民企/个人实控，无国资兜底，保壳依赖自身资源与外部资本博弈。</w:t>
      </w:r>
    </w:p>
    <w:p>
      <w:r>
        <w:rPr>
          <w:b w:val="0"/>
        </w:rPr>
        <w:t>【S2 股权质押】得分 6/6。无质押/质押比例极低，控制权稳固，无平仓扰动。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10/10。归母净资产非常充裕（≥10分档），资不抵债风险极低。</w:t>
      </w:r>
    </w:p>
    <w:p>
      <w:r>
        <w:rPr>
          <w:b w:val="0"/>
        </w:rPr>
        <w:t>【A2 扣非主营收入】得分 12/12。营收达标（主板≥3亿/双创≥1亿），财务类退市红线安全。</w:t>
      </w:r>
    </w:p>
    <w:p>
      <w:r>
        <w:rPr>
          <w:b w:val="0"/>
        </w:rPr>
        <w:t>【A3 扣非净利润】得分 6/6。扣非净利润为正，主业造血正常，盈利面无退市压力。</w:t>
      </w:r>
    </w:p>
    <w:p>
      <w:r>
        <w:rPr>
          <w:b w:val="0"/>
        </w:rPr>
        <w:t>【D1 现金流】得分 4/4。经营现金流为正，造血正常。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0/10。重大违法处罚落地（立案→处罚全链条），触发封顶（总分≤30）。</w:t>
      </w:r>
    </w:p>
    <w:p>
      <w:r>
        <w:rPr>
          <w:b w:val="0"/>
        </w:rPr>
        <w:t>【B2 审计意见】得分 6/12。保留意见，审计瑕疵存在，需消除后才能摘帽。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0/6。无重组/纾困信号，保壳依赖自身经营。</w:t>
      </w:r>
    </w:p>
    <w:p>
      <w:r>
        <w:rPr>
          <w:b w:val="0"/>
        </w:rPr>
        <w:t>【F1 财务趋势】得分 4/4。营收/扣非趋势改善，经营向上。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4/4。实控人无冻结/限高/立案，司法面无风险。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S2 股权质押(6/6)、A1 净资产(10/10)、A2 扣非主营收入(12/12)、A3 扣非净利润(6/6)、D1 现金流(4/4)、F1 财务趋势(4/4)、H1 司法风险(4/4)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C1 面值距离(4/6)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C2 壳价值锚定(0/8)、S1 实控人性质(3/12)、B1 立案/造假(0/10)、B2 审计意见(6/12)、F2 重组纾困(0/6)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ST洲际（600759）当前V2保壳评分 30 分（D级），全榜第 200 名。安全垫维度：S2股权质押、A1净资产、A2扣非主营收入、A3扣非净利润、D1现金流、F1财务趋势、H1司法风险。实控人为民企(个人)（许玲），无国资兜底，保壳依赖自身资源与外部资本博弈。暂无重组/纾困信号，保壳主要依赖自身经营修复。市值106.63亿，高于基准壳费线，壳价不占优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扣非盈利；行政处罚落地(重大:立案→处罚全链条)；保留意见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风险源维度：C2壳价值锚定、S1实控人性质、B1立案/造假、B2审计意见、F2重组纾困。 重大违法处罚落地（B1=0），总分封顶30分，退市锁定风险极高。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跟读报告｜ST洲际（600759）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