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ST京蓝</w:t>
        <w:br/>
        <w:t>000711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204 名 ｜ 摸鱼指数 12.0 ｜ V2保壳分 30 ｜ D级 ｜ 全榜第 199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D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第199名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12.0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184.59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6.25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民企(个人)（马黎阳）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现价≥8元，距1元面值退市线极远，面值通道完全无威胁。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市值显著高于壳基准，壳价值无优势。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无质押/质押比例极低，控制权稳固，无平仓扰动。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归母净资产充裕，无资不抵债风险，财务退市线安全。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重大违法处罚落地（立案→处罚全链条），触发封顶（总分≤30）。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标准无保留审计意见，审计面干净。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重整已进入执行/完成阶段（或重大资产重组落地），保壳确定性最高。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营收/扣非趋势改善，经营向上。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实控人无冻结/限高/立案，司法面无风险。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6/6。现价≥8元，距1元面值退市线极远，面值通道完全无威胁。</w:t>
      </w:r>
    </w:p>
    <w:p>
      <w:r>
        <w:rPr>
          <w:b w:val="0"/>
        </w:rPr>
        <w:t>【C2 壳价值锚定】得分 0/8。市值显著高于壳基准，壳价值无优势。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3/12。民企/个人实控，无国资兜底，保壳依赖自身资源与外部资本博弈。</w:t>
      </w:r>
    </w:p>
    <w:p>
      <w:r>
        <w:rPr>
          <w:b w:val="0"/>
        </w:rPr>
        <w:t>【S2 股权质押】得分 6/6。无质押/质押比例极低，控制权稳固，无平仓扰动。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8/10。归母净资产充裕，无资不抵债风险，财务退市线安全。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3/6。微利或微亏，盈利面中性。</w:t>
      </w:r>
    </w:p>
    <w:p>
      <w:r>
        <w:rPr>
          <w:b w:val="0"/>
        </w:rPr>
        <w:t>【D1 现金流】得分 0/4。经营现金流为负，资金链压力大。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0/10。重大违法处罚落地（立案→处罚全链条），触发封顶（总分≤30）。</w:t>
      </w:r>
    </w:p>
    <w:p>
      <w:r>
        <w:rPr>
          <w:b w:val="0"/>
        </w:rPr>
        <w:t>【B2 审计意见】得分 12/12。标准无保留审计意见，审计面干净。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6/6。重整已进入执行/完成阶段（或重大资产重组落地），保壳确定性最高。</w:t>
      </w:r>
    </w:p>
    <w:p>
      <w:r>
        <w:rPr>
          <w:b w:val="0"/>
        </w:rPr>
        <w:t>【F1 财务趋势】得分 4/4。营收/扣非趋势改善，经营向上。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4/4。实控人无冻结/限高/立案，司法面无风险。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面值距离(6/6)、S2 股权质押(6/6)、A1 净资产(8/10)、A2 扣非主营收入(12/12)、B2 审计意见(12/12)、F2 重组纾困(6/6)、F1 财务趋势(4/4)、H1 司法风险(4/4)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（无）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C2 壳价值锚定(0/8)、S1 实控人性质(3/12)、A3 扣非净利润(3/6)、D1 现金流(0/4)、B1 立案/造假(0/10)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ST京蓝（000711）当前V2保壳评分 30 分（D级），全榜第 199 名。安全垫维度：C1面值距离、S2股权质押、A1净资产、A2扣非主营收入、B2审计意见、F2重组纾困、F1财务趋势、H1司法风险。实控人为民企(个人)（马黎阳），无国资兜底，保壳依赖自身资源与外部资本博弈。重组/纾困已进入执行或完成阶段，保壳确定性最高。市值184.59亿，高于基准壳费线，壳价不占优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行政处罚落地(重大:立案→处罚全链条)；重整执行中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风险源维度：C2壳价值锚定、S1实控人性质、A3扣非净利润、D1现金流、B1立案/造假。 重大违法处罚落地（B1=0），总分封顶30分，退市锁定风险极高。 经营现金流为负，资金链压力较大。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跟读报告｜ST京蓝（000711）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