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总结概述</w:t>
      </w:r>
    </w:p>
    <w:p>
      <w:pPr>
        <w:pStyle w:val="Heading1"/>
      </w:pPr>
      <w:r>
        <w:t>1. 整体风险</w:t>
      </w:r>
    </w:p>
    <w:p>
      <w:pPr>
        <w:spacing w:line="400" w:lineRule="exact"/>
      </w:pPr>
      <w:r>
        <w:t>本次报告分析周期为：（2020年01月01日到2023年02月28日），通过发票、财务报表、纳税申报表的综合分析，共检测出风险点14项</w:t>
      </w:r>
    </w:p>
    <w:p>
      <w:pPr>
        <w:pStyle w:val="Heading1"/>
      </w:pPr>
      <w:r>
        <w:t>2. 具体风险如下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风险等级</w:t>
            </w:r>
          </w:p>
        </w:tc>
        <w:tc>
          <w:tcPr>
            <w:tcW w:type="dxa" w:w="2880"/>
          </w:tcPr>
          <w:p>
            <w:r>
              <w:t>一级风险</w:t>
            </w:r>
          </w:p>
        </w:tc>
        <w:tc>
          <w:tcPr>
            <w:tcW w:type="dxa" w:w="2880"/>
          </w:tcPr>
          <w:p>
            <w:r>
              <w:t>二级风险</w:t>
            </w:r>
          </w:p>
        </w:tc>
      </w:tr>
      <w:tr>
        <w:tc>
          <w:tcPr>
            <w:tcW w:type="dxa" w:w="2880"/>
            <w:vMerge w:val="restart"/>
          </w:tcPr>
          <w:p>
            <w:r>
              <w:t>高风险</w:t>
            </w:r>
          </w:p>
          <w:p>
            <w:r>
              <w:t>高风险</w:t>
            </w:r>
          </w:p>
        </w:tc>
        <w:tc>
          <w:tcPr>
            <w:tcW w:type="dxa" w:w="2880"/>
          </w:tcPr>
          <w:p>
            <w:r>
              <w:t>纳税风险</w:t>
            </w:r>
          </w:p>
        </w:tc>
        <w:tc>
          <w:tcPr>
            <w:tcW w:type="dxa" w:w="2880"/>
          </w:tcPr>
          <w:p>
            <w:r>
              <w:t>企业所得税贡献率异常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纳税风险</w:t>
            </w:r>
          </w:p>
        </w:tc>
        <w:tc>
          <w:tcPr>
            <w:tcW w:type="dxa" w:w="2880"/>
          </w:tcPr>
          <w:p>
            <w:r>
              <w:t>增值税年度税负率异常</w:t>
            </w:r>
          </w:p>
        </w:tc>
      </w:tr>
      <w:tr>
        <w:tc>
          <w:tcPr>
            <w:tcW w:type="dxa" w:w="2880"/>
          </w:tcPr>
          <w:p>
            <w:r>
              <w:t>高风险</w:t>
            </w:r>
          </w:p>
        </w:tc>
        <w:tc>
          <w:tcPr>
            <w:tcW w:type="dxa" w:w="2880"/>
          </w:tcPr>
          <w:p>
            <w:r>
              <w:t>纳税风险</w:t>
            </w:r>
          </w:p>
        </w:tc>
        <w:tc>
          <w:tcPr>
            <w:tcW w:type="dxa" w:w="2880"/>
          </w:tcPr>
          <w:p>
            <w:r>
              <w:t>增值税季度税负率异常</w:t>
            </w:r>
          </w:p>
        </w:tc>
      </w:tr>
      <w:tr>
        <w:tc>
          <w:tcPr>
            <w:tcW w:type="dxa" w:w="2880"/>
            <w:vMerge w:val="restart"/>
          </w:tcPr>
          <w:p>
            <w:r>
              <w:t>中风险</w:t>
            </w:r>
          </w:p>
          <w:p>
            <w:r>
              <w:t>中风险</w:t>
            </w:r>
          </w:p>
        </w:tc>
        <w:tc>
          <w:tcPr>
            <w:tcW w:type="dxa" w:w="2880"/>
          </w:tcPr>
          <w:p>
            <w:r>
              <w:t>虚开发票风险</w:t>
            </w:r>
          </w:p>
        </w:tc>
        <w:tc>
          <w:tcPr>
            <w:tcW w:type="dxa" w:w="2880"/>
          </w:tcPr>
          <w:p>
            <w:r>
              <w:t>红冲、作废或顶额开票比例较高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基础财务指标风险</w:t>
            </w:r>
          </w:p>
        </w:tc>
        <w:tc>
          <w:tcPr>
            <w:tcW w:type="dxa" w:w="2880"/>
          </w:tcPr>
          <w:p>
            <w:r>
              <w:t>管理费用率异常</w:t>
            </w:r>
          </w:p>
        </w:tc>
      </w:tr>
      <w:tr>
        <w:tc>
          <w:tcPr>
            <w:tcW w:type="dxa" w:w="2880"/>
            <w:vMerge w:val="restart"/>
          </w:tcPr>
          <w:p>
            <w:r>
              <w:t>中风险</w:t>
            </w:r>
          </w:p>
          <w:p>
            <w:r>
              <w:t>中风险</w:t>
            </w:r>
          </w:p>
        </w:tc>
        <w:tc>
          <w:tcPr>
            <w:tcW w:type="dxa" w:w="2880"/>
          </w:tcPr>
          <w:p>
            <w:r>
              <w:t>隐匿收入风险</w:t>
            </w:r>
          </w:p>
        </w:tc>
        <w:tc>
          <w:tcPr>
            <w:tcW w:type="dxa" w:w="2880"/>
          </w:tcPr>
          <w:p>
            <w:r>
              <w:t>其他应付款变动异常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虚增成本风险</w:t>
            </w:r>
          </w:p>
        </w:tc>
        <w:tc>
          <w:tcPr>
            <w:tcW w:type="dxa" w:w="2880"/>
          </w:tcPr>
          <w:p>
            <w:r>
              <w:t>应付账款变动异常</w:t>
            </w:r>
          </w:p>
        </w:tc>
      </w:tr>
      <w:tr>
        <w:tc>
          <w:tcPr>
            <w:tcW w:type="dxa" w:w="2880"/>
            <w:vMerge w:val="restart"/>
          </w:tcPr>
          <w:p>
            <w:r>
              <w:t>中风险</w:t>
            </w:r>
          </w:p>
          <w:p>
            <w:r>
              <w:t>中风险</w:t>
            </w:r>
          </w:p>
        </w:tc>
        <w:tc>
          <w:tcPr>
            <w:tcW w:type="dxa" w:w="2880"/>
          </w:tcPr>
          <w:p>
            <w:r>
              <w:t>虚增成本风险</w:t>
            </w:r>
          </w:p>
        </w:tc>
        <w:tc>
          <w:tcPr>
            <w:tcW w:type="dxa" w:w="2880"/>
          </w:tcPr>
          <w:p>
            <w:r>
              <w:t>成本费用、净经营资产变动异常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财税票综合分析风险</w:t>
            </w:r>
          </w:p>
        </w:tc>
        <w:tc>
          <w:tcPr>
            <w:tcW w:type="dxa" w:w="2880"/>
          </w:tcPr>
          <w:p>
            <w:r>
              <w:t>增值税应纳税额与毛利比值变动异常</w:t>
            </w:r>
          </w:p>
        </w:tc>
      </w:tr>
      <w:tr>
        <w:tc>
          <w:tcPr>
            <w:tcW w:type="dxa" w:w="2880"/>
            <w:vMerge w:val="restart"/>
          </w:tcPr>
          <w:p>
            <w:r>
              <w:t>低风险</w:t>
            </w:r>
          </w:p>
          <w:p>
            <w:r>
              <w:t>低风险</w:t>
            </w:r>
          </w:p>
        </w:tc>
        <w:tc>
          <w:tcPr>
            <w:tcW w:type="dxa" w:w="2880"/>
          </w:tcPr>
          <w:p>
            <w:r>
              <w:t>进销对比分析异常</w:t>
            </w:r>
          </w:p>
        </w:tc>
        <w:tc>
          <w:tcPr>
            <w:tcW w:type="dxa" w:w="2880"/>
          </w:tcPr>
          <w:p>
            <w:r>
              <w:t>销项税/进项税比值异常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基础财务指标风险</w:t>
            </w:r>
          </w:p>
        </w:tc>
        <w:tc>
          <w:tcPr>
            <w:tcW w:type="dxa" w:w="2880"/>
          </w:tcPr>
          <w:p>
            <w:r>
              <w:t>其他费用占比过高</w:t>
            </w:r>
          </w:p>
        </w:tc>
      </w:tr>
      <w:tr>
        <w:tc>
          <w:tcPr>
            <w:tcW w:type="dxa" w:w="2880"/>
            <w:vMerge w:val="restart"/>
          </w:tcPr>
          <w:p>
            <w:r>
              <w:t>低风险</w:t>
            </w:r>
          </w:p>
          <w:p>
            <w:r>
              <w:t>低风险</w:t>
            </w:r>
          </w:p>
        </w:tc>
        <w:tc>
          <w:tcPr>
            <w:tcW w:type="dxa" w:w="2880"/>
          </w:tcPr>
          <w:p>
            <w:r>
              <w:t>基础财务指标风险</w:t>
            </w:r>
          </w:p>
        </w:tc>
        <w:tc>
          <w:tcPr>
            <w:tcW w:type="dxa" w:w="2880"/>
          </w:tcPr>
          <w:p>
            <w:r>
              <w:t>未分配利润对实收资本比值过高风险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纳税风险</w:t>
            </w:r>
          </w:p>
        </w:tc>
        <w:tc>
          <w:tcPr>
            <w:tcW w:type="dxa" w:w="2880"/>
          </w:tcPr>
          <w:p>
            <w:r>
              <w:t>城建税税率异常</w:t>
            </w:r>
          </w:p>
        </w:tc>
      </w:tr>
      <w:tr>
        <w:tc>
          <w:tcPr>
            <w:tcW w:type="dxa" w:w="2880"/>
          </w:tcPr>
          <w:p>
            <w:r>
              <w:t>低风险</w:t>
            </w:r>
          </w:p>
        </w:tc>
        <w:tc>
          <w:tcPr>
            <w:tcW w:type="dxa" w:w="2880"/>
          </w:tcPr>
          <w:p>
            <w:r>
              <w:t>纳税风险</w:t>
            </w:r>
          </w:p>
        </w:tc>
        <w:tc>
          <w:tcPr>
            <w:tcW w:type="dxa" w:w="2880"/>
          </w:tcPr>
          <w:p>
            <w:r>
              <w:t>印花税税率推算异常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