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总结概述</w:t>
      </w:r>
    </w:p>
    <w:p>
      <w:pPr>
        <w:pStyle w:val="3"/>
        <w:rPr>
          <w:rFonts w:hint="default"/>
        </w:rPr>
      </w:pPr>
      <w:r>
        <w:t>1. 整</w:t>
      </w:r>
      <w:bookmarkStart w:id="0" w:name="_GoBack"/>
      <w:bookmarkEnd w:id="0"/>
    </w:p>
    <w:p>
      <w:pPr>
        <w:spacing w:line="400" w:lineRule="exact"/>
      </w:pPr>
      <w:r>
        <w:t>本次报告分析周期为：（2020年01月01日到2023年02月28日），通过发票、财务报表、纳税申报表的综合分析，共检测出风险点14项</w:t>
      </w:r>
    </w:p>
    <w:p>
      <w:pPr>
        <w:pStyle w:val="3"/>
      </w:pPr>
      <w:r>
        <w:t>2. 具体风险如下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风险等级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一级风险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二级风险</w:t>
            </w:r>
          </w:p>
        </w:tc>
      </w:tr>
      <w:tr>
        <w:tc>
          <w:tcPr>
            <w:tcW w:w="2880" w:type="dxa"/>
            <w:vMerge w:val="restart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高风险</w:t>
            </w:r>
          </w:p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高风险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纳税风险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企业所得税贡献率异常</w:t>
            </w:r>
          </w:p>
        </w:tc>
      </w:tr>
      <w:tr>
        <w:tc>
          <w:tcPr>
            <w:tcW w:w="2880" w:type="dxa"/>
            <w:vMerge w:val="continue"/>
          </w:tcPr>
          <w:p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纳税风险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增值税年度税负率异常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高风险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纳税风险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增值税季度税负率异常</w:t>
            </w:r>
          </w:p>
        </w:tc>
      </w:tr>
      <w:tr>
        <w:tc>
          <w:tcPr>
            <w:tcW w:w="2880" w:type="dxa"/>
            <w:vMerge w:val="restart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中风险</w:t>
            </w:r>
          </w:p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中风险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虚开发票风险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红冲、作废或顶额开票比例较高</w:t>
            </w:r>
          </w:p>
        </w:tc>
      </w:tr>
      <w:tr>
        <w:tc>
          <w:tcPr>
            <w:tcW w:w="2880" w:type="dxa"/>
            <w:vMerge w:val="continue"/>
          </w:tcPr>
          <w:p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基础财务指标风险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管理费用率异常</w:t>
            </w:r>
          </w:p>
        </w:tc>
      </w:tr>
      <w:tr>
        <w:tc>
          <w:tcPr>
            <w:tcW w:w="2880" w:type="dxa"/>
            <w:vMerge w:val="restart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中风险</w:t>
            </w:r>
          </w:p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中风险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隐匿收入风险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其他应付款变动异常</w:t>
            </w:r>
          </w:p>
        </w:tc>
      </w:tr>
      <w:tr>
        <w:tc>
          <w:tcPr>
            <w:tcW w:w="2880" w:type="dxa"/>
            <w:vMerge w:val="continue"/>
          </w:tcPr>
          <w:p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虚增成本风险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应付账款变动异常</w:t>
            </w:r>
          </w:p>
        </w:tc>
      </w:tr>
      <w:tr>
        <w:tc>
          <w:tcPr>
            <w:tcW w:w="2880" w:type="dxa"/>
            <w:vMerge w:val="restart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中风险</w:t>
            </w:r>
          </w:p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中风险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虚增成本风险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成本费用、净经营资产变动异常</w:t>
            </w:r>
          </w:p>
        </w:tc>
      </w:tr>
      <w:tr>
        <w:tc>
          <w:tcPr>
            <w:tcW w:w="2880" w:type="dxa"/>
            <w:vMerge w:val="continue"/>
          </w:tcPr>
          <w:p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财税票综合分析风险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增值税应纳税额与毛利比值变动异常</w:t>
            </w:r>
          </w:p>
        </w:tc>
      </w:tr>
      <w:tr>
        <w:tc>
          <w:tcPr>
            <w:tcW w:w="2880" w:type="dxa"/>
            <w:vMerge w:val="restart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低风险</w:t>
            </w:r>
          </w:p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进销对比分析异常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销项税/进项税比值异常</w:t>
            </w:r>
          </w:p>
        </w:tc>
      </w:tr>
      <w:tr>
        <w:tc>
          <w:tcPr>
            <w:tcW w:w="2880" w:type="dxa"/>
            <w:vMerge w:val="continue"/>
          </w:tcPr>
          <w:p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基础财务指标风险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其他费用占比过高</w:t>
            </w:r>
          </w:p>
        </w:tc>
      </w:tr>
      <w:tr>
        <w:tc>
          <w:tcPr>
            <w:tcW w:w="2880" w:type="dxa"/>
            <w:vMerge w:val="restart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低风险</w:t>
            </w:r>
          </w:p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基础财务指标风险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未分配利润对实收资本比值过高风险</w:t>
            </w:r>
          </w:p>
        </w:tc>
      </w:tr>
      <w:tr>
        <w:tc>
          <w:tcPr>
            <w:tcW w:w="2880" w:type="dxa"/>
            <w:vMerge w:val="continue"/>
          </w:tcPr>
          <w:p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纳税风险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城建税税率异常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纳税风险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印花税税率推算异常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冬青黑体繁体中文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冬青黑体繁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F5B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  <w:jc w:val="center"/>
    </w:pPr>
    <w:rPr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红色蔓陀螺</cp:lastModifiedBy>
  <dcterms:modified xsi:type="dcterms:W3CDTF">2023-06-07T23:25:06Z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