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7F8C8D"/>
          <w:sz w:val="22"/>
        </w:rPr>
        <w:t>ANALISE DE FII - RELATORIO GERENCIAL</w:t>
      </w:r>
    </w:p>
    <w:p>
      <w:pPr>
        <w:jc w:val="center"/>
      </w:pPr>
      <w:r>
        <w:rPr>
          <w:b/>
          <w:color w:val="1A527B"/>
          <w:sz w:val="44"/>
        </w:rPr>
        <w:t>DEVA11 - Devant Recebiveis Imobiliarios FII</w:t>
      </w:r>
    </w:p>
    <w:p>
      <w:pPr>
        <w:jc w:val="center"/>
      </w:pPr>
      <w:r>
        <w:rPr>
          <w:sz w:val="24"/>
        </w:rPr>
        <w:t>Relatorio Gerencial | Competencia: Marco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527b"/>
          </w:tcPr>
          <w:p>
            <w:r>
              <w:rPr>
                <w:b/>
                <w:color w:val="FFFFFF"/>
                <w:sz w:val="18"/>
              </w:rPr>
              <w:t>Cota Mercado</w:t>
            </w:r>
          </w:p>
        </w:tc>
        <w:tc>
          <w:tcPr>
            <w:tcW w:type="dxa" w:w="1881"/>
            <w:shd w:val="clear" w:color="auto" w:fill="1a527b"/>
          </w:tcPr>
          <w:p>
            <w:r>
              <w:rPr>
                <w:b/>
                <w:color w:val="FFFFFF"/>
                <w:sz w:val="18"/>
              </w:rPr>
              <w:t>Cota Patrimonial</w:t>
            </w:r>
          </w:p>
        </w:tc>
        <w:tc>
          <w:tcPr>
            <w:tcW w:type="dxa" w:w="1881"/>
            <w:shd w:val="clear" w:color="auto" w:fill="1a527b"/>
          </w:tcPr>
          <w:p>
            <w:r>
              <w:rPr>
                <w:b/>
                <w:color w:val="FFFFFF"/>
                <w:sz w:val="18"/>
              </w:rPr>
              <w:t>P/VP</w:t>
            </w:r>
          </w:p>
        </w:tc>
        <w:tc>
          <w:tcPr>
            <w:tcW w:type="dxa" w:w="1881"/>
            <w:shd w:val="clear" w:color="auto" w:fill="1a527b"/>
          </w:tcPr>
          <w:p>
            <w:r>
              <w:rPr>
                <w:b/>
                <w:color w:val="FFFFFF"/>
                <w:sz w:val="18"/>
              </w:rPr>
              <w:t>DY Mensal</w:t>
            </w:r>
          </w:p>
        </w:tc>
        <w:tc>
          <w:tcPr>
            <w:tcW w:type="dxa" w:w="1881"/>
            <w:shd w:val="clear" w:color="auto" w:fill="1a527b"/>
          </w:tcPr>
          <w:p>
            <w:r>
              <w:rPr>
                <w:b/>
                <w:color w:val="FFFFFF"/>
                <w:sz w:val="18"/>
              </w:rPr>
              <w:t>Veredicto</w:t>
            </w:r>
          </w:p>
        </w:tc>
      </w:tr>
      <w:tr>
        <w:tc>
          <w:tcPr>
            <w:tcW w:type="dxa" w:w="1881"/>
          </w:tcPr>
          <w:p>
            <w:r>
              <w:rPr>
                <w:b/>
                <w:sz w:val="18"/>
              </w:rPr>
              <w:t>R$ 23,90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R$ 94,63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0,25x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1,26% (mar/26)</w:t>
            </w:r>
          </w:p>
        </w:tc>
        <w:tc>
          <w:tcPr>
            <w:tcW w:type="dxa" w:w="1881"/>
          </w:tcPr>
          <w:p>
            <w:r>
              <w:rPr>
                <w:b/>
                <w:color w:val="E67E22"/>
                <w:sz w:val="18"/>
              </w:rPr>
              <w:t>MANUTENCAO COM CAUTELA</w:t>
            </w:r>
          </w:p>
        </w:tc>
      </w:tr>
    </w:tbl>
    <w:p/>
    <w:p>
      <w:r>
        <w:rPr>
          <w:b/>
          <w:color w:val="2C3E50"/>
          <w:sz w:val="26"/>
        </w:rPr>
        <w:t>SUMARIO EXECUTIVO</w:t>
      </w:r>
    </w:p>
    <w:p>
      <w:r>
        <w:rPr>
          <w:b w:val="0"/>
          <w:sz w:val="20"/>
        </w:rPr>
        <w:t>O DEVA11 apresenta em marco/2026 estabilizacao fragil: distribuicao mantida em R$ 0,30/cota pelo terceiro mes consecutivo, sustentada em parte pelo consumo da reserva de lucros (-R$ 349 mil). A receita gerou R$ 4,96M para distribuir R$ 4,21M - margem existe mas nao comporta deterioracao adicional.</w:t>
      </w:r>
    </w:p>
    <w:p/>
    <w:p>
      <w:r>
        <w:rPr>
          <w:b/>
          <w:color w:val="C0392B"/>
          <w:sz w:val="20"/>
        </w:rPr>
        <w:t>ALERTA: 65,2% da carteira de CRIs em carencia de juros - mais de 2/3 do portfolio nao gera caixa agora. Este e o fator de risco mais relevante do fundo.</w:t>
      </w:r>
    </w:p>
    <w:p>
      <w:r>
        <w:rPr>
          <w:b/>
          <w:color w:val="C0392B"/>
          <w:sz w:val="20"/>
        </w:rPr>
        <w:t>ALERTA: Mercado precifica cota 74,7% abaixo do patrimonial (P/VP 0,25x). Mercado nao acredita que o PL e recuperavel integralmente.</w:t>
      </w:r>
    </w:p>
    <w:p>
      <w:r>
        <w:rPr>
          <w:b/>
          <w:color w:val="C0392B"/>
          <w:sz w:val="20"/>
        </w:rPr>
        <w:t>ALERTA: 9,7% da carteira inadimplente - proximo ao limiar critico para FIIs de papel.</w:t>
      </w:r>
    </w:p>
    <w:p>
      <w:r>
        <w:rPr>
          <w:b/>
          <w:color w:val="27AE60"/>
          <w:sz w:val="20"/>
        </w:rPr>
        <w:t>POSITIVO: 99% da carteira protegida contra deflacao. IPCA + 10,66% ao ano - remuneracao contratada excelente se devedores pagarem.</w:t>
      </w:r>
    </w:p>
    <w:p>
      <w:r>
        <w:br w:type="page"/>
      </w:r>
    </w:p>
    <w:p>
      <w:r>
        <w:rPr>
          <w:b/>
          <w:color w:val="1A527B"/>
          <w:sz w:val="32"/>
        </w:rPr>
        <w:t>1. ANALISE DE RESULTADOS - MARCO 2026</w:t>
      </w:r>
    </w:p>
    <w:p>
      <w:r>
        <w:rPr>
          <w:b/>
          <w:color w:val="2C3E50"/>
          <w:sz w:val="26"/>
        </w:rPr>
        <w:t>1.1 DRE Gerencial - Evolucao Mensal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a527b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176"/>
            <w:shd w:val="clear" w:color="auto" w:fill="1a527b"/>
          </w:tcPr>
          <w:p>
            <w:r>
              <w:rPr>
                <w:b/>
                <w:color w:val="FFFFFF"/>
                <w:sz w:val="16"/>
              </w:rPr>
              <w:t>set/25</w:t>
            </w:r>
          </w:p>
        </w:tc>
        <w:tc>
          <w:tcPr>
            <w:tcW w:type="dxa" w:w="1176"/>
            <w:shd w:val="clear" w:color="auto" w:fill="1a527b"/>
          </w:tcPr>
          <w:p>
            <w:r>
              <w:rPr>
                <w:b/>
                <w:color w:val="FFFFFF"/>
                <w:sz w:val="16"/>
              </w:rPr>
              <w:t>out/25</w:t>
            </w:r>
          </w:p>
        </w:tc>
        <w:tc>
          <w:tcPr>
            <w:tcW w:type="dxa" w:w="1176"/>
            <w:shd w:val="clear" w:color="auto" w:fill="1a527b"/>
          </w:tcPr>
          <w:p>
            <w:r>
              <w:rPr>
                <w:b/>
                <w:color w:val="FFFFFF"/>
                <w:sz w:val="16"/>
              </w:rPr>
              <w:t>nov/25</w:t>
            </w:r>
          </w:p>
        </w:tc>
        <w:tc>
          <w:tcPr>
            <w:tcW w:type="dxa" w:w="1176"/>
            <w:shd w:val="clear" w:color="auto" w:fill="1a527b"/>
          </w:tcPr>
          <w:p>
            <w:r>
              <w:rPr>
                <w:b/>
                <w:color w:val="FFFFFF"/>
                <w:sz w:val="16"/>
              </w:rPr>
              <w:t>dez/25</w:t>
            </w:r>
          </w:p>
        </w:tc>
        <w:tc>
          <w:tcPr>
            <w:tcW w:type="dxa" w:w="1176"/>
            <w:shd w:val="clear" w:color="auto" w:fill="1a527b"/>
          </w:tcPr>
          <w:p>
            <w:r>
              <w:rPr>
                <w:b/>
                <w:color w:val="FFFFFF"/>
                <w:sz w:val="16"/>
              </w:rPr>
              <w:t>jan/26</w:t>
            </w:r>
          </w:p>
        </w:tc>
        <w:tc>
          <w:tcPr>
            <w:tcW w:type="dxa" w:w="1176"/>
            <w:shd w:val="clear" w:color="auto" w:fill="1a527b"/>
          </w:tcPr>
          <w:p>
            <w:r>
              <w:rPr>
                <w:b/>
                <w:color w:val="FFFFFF"/>
                <w:sz w:val="16"/>
              </w:rPr>
              <w:t>fev/26</w:t>
            </w:r>
          </w:p>
        </w:tc>
        <w:tc>
          <w:tcPr>
            <w:tcW w:type="dxa" w:w="1176"/>
            <w:shd w:val="clear" w:color="auto" w:fill="1a527b"/>
          </w:tcPr>
          <w:p>
            <w:r>
              <w:rPr>
                <w:b/>
                <w:color w:val="FFFFFF"/>
                <w:sz w:val="16"/>
              </w:rPr>
              <w:t>mar/26</w:t>
            </w:r>
          </w:p>
        </w:tc>
      </w:tr>
      <w:tr>
        <w:tc>
          <w:tcPr>
            <w:tcW w:type="dxa" w:w="1176"/>
          </w:tcPr>
          <w:p>
            <w:r>
              <w:rPr>
                <w:b/>
                <w:sz w:val="16"/>
              </w:rPr>
              <w:t>Receitas Totais (R$)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6.405.510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5.056.121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6.334.352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5.182.939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4.879.891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4.830.216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4.962.852</w:t>
            </w:r>
          </w:p>
        </w:tc>
      </w:tr>
      <w:tr>
        <w:tc>
          <w:tcPr>
            <w:tcW w:type="dxa" w:w="1176"/>
          </w:tcPr>
          <w:p>
            <w:r>
              <w:rPr>
                <w:b/>
                <w:sz w:val="16"/>
              </w:rPr>
              <w:t xml:space="preserve">  Juros CRI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5.564.241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4.278.231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5.167.890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4.350.830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3.868.740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3.939.540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4.063.797</w:t>
            </w:r>
          </w:p>
        </w:tc>
      </w:tr>
      <w:tr>
        <w:tc>
          <w:tcPr>
            <w:tcW w:type="dxa" w:w="1176"/>
          </w:tcPr>
          <w:p>
            <w:r>
              <w:rPr>
                <w:b/>
                <w:sz w:val="16"/>
              </w:rPr>
              <w:t xml:space="preserve">  Correc. Monet.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275.536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258.433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428.361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197.654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364.792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309.632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322.851</w:t>
            </w:r>
          </w:p>
        </w:tc>
      </w:tr>
      <w:tr>
        <w:tc>
          <w:tcPr>
            <w:tcW w:type="dxa" w:w="1176"/>
          </w:tcPr>
          <w:p>
            <w:r>
              <w:rPr>
                <w:b/>
                <w:sz w:val="16"/>
              </w:rPr>
              <w:t xml:space="preserve">  Receita FIIs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478.429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478.429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478.429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478.429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509.997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478.429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478.429</w:t>
            </w:r>
          </w:p>
        </w:tc>
      </w:tr>
      <w:tr>
        <w:tc>
          <w:tcPr>
            <w:tcW w:type="dxa" w:w="1176"/>
          </w:tcPr>
          <w:p>
            <w:r>
              <w:rPr>
                <w:b/>
                <w:sz w:val="16"/>
              </w:rPr>
              <w:t xml:space="preserve">  Rend. Caixa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47.933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41.029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58.441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112.080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136.363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102.615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97.775</w:t>
            </w:r>
          </w:p>
        </w:tc>
      </w:tr>
      <w:tr>
        <w:tc>
          <w:tcPr>
            <w:tcW w:type="dxa" w:w="1176"/>
          </w:tcPr>
          <w:p>
            <w:r>
              <w:rPr>
                <w:b/>
                <w:sz w:val="16"/>
              </w:rPr>
              <w:t>Despesas (R$)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(454.944)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(434.496)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(429.509)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(340.250)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(348.463)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(402.092)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(399.458)</w:t>
            </w:r>
          </w:p>
        </w:tc>
      </w:tr>
      <w:tr>
        <w:tc>
          <w:tcPr>
            <w:tcW w:type="dxa" w:w="1176"/>
          </w:tcPr>
          <w:p>
            <w:r>
              <w:rPr>
                <w:b/>
                <w:sz w:val="16"/>
              </w:rPr>
              <w:t>Reserva Lucros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(1.034.848)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13.195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274.917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775.274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(266.953)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(214.652)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(349.921)</w:t>
            </w:r>
          </w:p>
        </w:tc>
      </w:tr>
      <w:tr>
        <w:tc>
          <w:tcPr>
            <w:tcW w:type="dxa" w:w="1176"/>
          </w:tcPr>
          <w:p>
            <w:r>
              <w:rPr>
                <w:b/>
                <w:sz w:val="16"/>
              </w:rPr>
              <w:t>Distrib./cota (R$)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R$0,35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R$0,33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R$0,44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R$0,40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R$0,30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R$0,30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R$0,30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95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receita_distribuic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5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6"/>
        </w:rPr>
        <w:t>Figura 1 - Receita total e distribuicao por cota (set/25-mar/26). Fonte: Relatorio Gerencial DEVA11, marco/2026.</w:t>
      </w:r>
    </w:p>
    <w:p>
      <w:r>
        <w:br w:type="page"/>
      </w:r>
    </w:p>
    <w:p>
      <w:r>
        <w:rPr>
          <w:b/>
          <w:color w:val="1A527B"/>
          <w:sz w:val="32"/>
        </w:rPr>
        <w:t>2. ANALISE DE RISCOS</w:t>
      </w:r>
    </w:p>
    <w:p>
      <w:r>
        <w:rPr>
          <w:b/>
          <w:color w:val="2C3E50"/>
          <w:sz w:val="26"/>
        </w:rPr>
        <w:t>2.1 Risco Central: 65,2% da Carteira em Carencia de Juros</w:t>
      </w:r>
    </w:p>
    <w:p>
      <w:r>
        <w:rPr>
          <w:b w:val="0"/>
          <w:sz w:val="20"/>
        </w:rPr>
        <w:t>Apenas 25,1% dos ativos pagam juros regularmente. A maior parte (65,2%) esta em carencia - devedores nao pagam juros agora, acumulam para pagar no futuro. Implicacoes:</w:t>
        <w:br/>
        <w:br/>
        <w:t>(a) Caixa atual sustentado por fracao da carteira - nao pelo potencial pleno do portfolio.</w:t>
        <w:br/>
        <w:br/>
        <w:t>(b) Quando carencias vencerem, pagamentos devem normalizar - mas SOMENTE se devedores tiverem capacidade financeira para honrar os juros acumulados. Com CDI a 14,75%, esse e o grande interrogante.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9760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tatus_cr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976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6"/>
        </w:rPr>
        <w:t>Figura 2 - Status da carteira de CRIs. Fonte: Relatorio Gerencial DEVA11, marco/2026.</w:t>
      </w:r>
    </w:p>
    <w:p>
      <w:r>
        <w:rPr>
          <w:b/>
          <w:color w:val="2C3E50"/>
          <w:sz w:val="26"/>
        </w:rPr>
        <w:t>2.2 Concentracao em Segmentos de Alto Risco</w:t>
      </w:r>
    </w:p>
    <w:p>
      <w:r>
        <w:rPr>
          <w:b w:val="0"/>
          <w:sz w:val="20"/>
        </w:rPr>
        <w:t>Multipropriedade (33,2%) + Loteamento (22,4%) = 55,6% da carteira.</w:t>
        <w:br/>
        <w:br/>
        <w:t>Multipropriedade: venda direta a pessoa fisica com alto endividamento. Inadimplencia estrutural alta, sensivel a desemprego e credito caro. CDI a 14,75% pressiona diretamente esse perfil de comprador.</w:t>
        <w:br/>
        <w:br/>
        <w:t>Loteamento: ciclo longo (3-7 anos do lancamento ao repasse bancario). Alguns CRIs individuais mostram razao PMT executada acima do limite contratado - sinal de estresse nos pagamentos.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820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egmen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82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6"/>
        </w:rPr>
        <w:t>Figura 3 - Composicao por segmento. Fonte: Relatorio Gerencial DEVA11, marco/2026.</w:t>
      </w:r>
    </w:p>
    <w:p>
      <w:r>
        <w:br w:type="page"/>
      </w:r>
    </w:p>
    <w:p>
      <w:r>
        <w:rPr>
          <w:b/>
          <w:color w:val="2C3E50"/>
          <w:sz w:val="26"/>
        </w:rPr>
        <w:t>2.3 Reserva de Lucros: Distribuicao Sustentavel?</w:t>
      </w:r>
    </w:p>
    <w:p>
      <w:r>
        <w:rPr>
          <w:b w:val="0"/>
          <w:sz w:val="20"/>
        </w:rPr>
        <w:t>R$ 0,30/cota desde janeiro/2026 com margem estreita. Em marco: receita R$ 4,96M, distribuicao R$ 4,21M. Nos ultimos 3 meses a reserva consumiu -R$ 930 mil acumulados. Ha pressao persistente de despesas e inadimplencia que consome o excedente gerado. A distribuicao nao e artificial, mas a margem de seguranca e pequena.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812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eserva_lucr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1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6"/>
        </w:rPr>
        <w:t>Figura 4 - Variacao da reserva de lucros. Negativo = consumo de reserva. Fonte: Relatorio Gerencial DEVA11, marco/2026.</w:t>
      </w:r>
    </w:p>
    <w:p>
      <w:r>
        <w:rPr>
          <w:b/>
          <w:color w:val="2C3E50"/>
          <w:sz w:val="26"/>
        </w:rPr>
        <w:t>2.4 O Desconto de 74,7%: Oportunidade ou Aviso?</w:t>
      </w:r>
    </w:p>
    <w:p>
      <w:r>
        <w:rPr>
          <w:b w:val="0"/>
          <w:sz w:val="20"/>
        </w:rPr>
        <w:t>P/VP de 0,25x - um dos maiores descontos do segmento de FIIs de papel.</w:t>
        <w:br/>
        <w:br/>
        <w:t>Argumento otimista: o PL de R$ 1,33B e real - CRIs com contratos formais, garantias imobiliarias, IPCA + 10,66%. Se devedores pagarem, o fundo vale muito mais do que o mercado precifica.</w:t>
        <w:br/>
        <w:br/>
        <w:t>Argumento do mercado (pessimista): com 74,9% sem gerar caixa agora, o mercado nao acredita que o valor integral dos CRIs sera recuperado. Um CRI inadimplente em execucao de garantia vale fracao do valor de face - e 9,7% ja esta nessa situacao.</w:t>
        <w:br/>
        <w:br/>
        <w:t>Veredicto: o desconto e simultaneamente um aviso e uma precificacao racional de risco. Nao e oportunidade obvia.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6888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desconto_pv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8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6"/>
        </w:rPr>
        <w:t>Figura 5 - Desconto P/VP. Fonte: Relatorio Gerencial DEVA11, marco/2026.</w:t>
      </w:r>
    </w:p>
    <w:p>
      <w:r>
        <w:br w:type="page"/>
      </w:r>
    </w:p>
    <w:p>
      <w:r>
        <w:rPr>
          <w:b/>
          <w:color w:val="1A527B"/>
          <w:sz w:val="32"/>
        </w:rPr>
        <w:t>3. DIVIDEND YIELD - LEITURA CRITICA</w:t>
      </w:r>
    </w:p>
    <w:p>
      <w:r>
        <w:rPr>
          <w:b w:val="0"/>
          <w:sz w:val="20"/>
        </w:rPr>
        <w:t>DY de 1,26%/mes (18,06% em 12 meses) = 103,74% CDI bruto e 122,04% gross-up IR. Matematicamente atrativo. Mas o DY elevado e resultado direto do desconto de mercado, nao de geracao de caixa operacional superior. Quem comprou a R$ 50 recebe 0,72%/mes - abaixo do CDI. O DY de 1,26% so vale para quem comprar hoje a R$ 23,90.</w:t>
        <w:br/>
        <w:br/>
        <w:t>A pergunta correta nao e "o DY e alto?" mas: "os R$ 0,30/cota sao sustentaveis?"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936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y_mens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3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6"/>
        </w:rPr>
        <w:t>Figura 6 - DY Mensal DEVA11. Fonte: Relatorio Gerencial DEVA11, marco/2026.</w:t>
      </w:r>
    </w:p>
    <w:p>
      <w:r>
        <w:rPr>
          <w:b/>
          <w:color w:val="2C3E50"/>
          <w:sz w:val="26"/>
        </w:rPr>
        <w:t>3.1 Cenarios de Sustentabilidade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27b"/>
          </w:tcPr>
          <w:p>
            <w:r>
              <w:rPr>
                <w:b/>
                <w:color w:val="FFFFFF"/>
                <w:sz w:val="18"/>
              </w:rPr>
              <w:t>Cenario</w:t>
            </w:r>
          </w:p>
        </w:tc>
        <w:tc>
          <w:tcPr>
            <w:tcW w:type="dxa" w:w="3135"/>
            <w:shd w:val="clear" w:color="auto" w:fill="1a527b"/>
          </w:tcPr>
          <w:p>
            <w:r>
              <w:rPr>
                <w:b/>
                <w:color w:val="FFFFFF"/>
                <w:sz w:val="18"/>
              </w:rPr>
              <w:t>Condicao</w:t>
            </w:r>
          </w:p>
        </w:tc>
        <w:tc>
          <w:tcPr>
            <w:tcW w:type="dxa" w:w="3135"/>
            <w:shd w:val="clear" w:color="auto" w:fill="1a527b"/>
          </w:tcPr>
          <w:p>
            <w:r>
              <w:rPr>
                <w:b/>
                <w:color w:val="FFFFFF"/>
                <w:sz w:val="18"/>
              </w:rPr>
              <w:t>Distribuicao Estimada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Base (atual)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65% em carencia + 9,7% inadimplente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R$ 0,28-0,32/cota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Positivo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Carencias vencem, devedores normalizam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R$ 0,38-0,45/cota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Negativo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Inadimplencia sobe para 15%+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R$ 0,20-0,25/cota ou corte</w:t>
            </w:r>
          </w:p>
        </w:tc>
      </w:tr>
    </w:tbl>
    <w:p/>
    <w:p>
      <w:r>
        <w:rPr>
          <w:b/>
          <w:color w:val="1A527B"/>
          <w:sz w:val="32"/>
        </w:rPr>
        <w:t>4. AVALIACAO FINAL - VALE MANTER?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Fator</w:t>
            </w:r>
          </w:p>
        </w:tc>
        <w:tc>
          <w:tcPr>
            <w:tcW w:type="dxa" w:w="3135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Leitura</w:t>
            </w:r>
          </w:p>
        </w:tc>
        <w:tc>
          <w:tcPr>
            <w:tcW w:type="dxa" w:w="3135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Impacto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Remuneracao contratada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IPCA + 10,66% ao ano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  <w:sz w:val="18"/>
              </w:rPr>
              <w:t>POSITIVO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65,2% em carencia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Sem caixa de 2/3 da carteira agora</w:t>
            </w:r>
          </w:p>
        </w:tc>
        <w:tc>
          <w:tcPr>
            <w:tcW w:type="dxa" w:w="3135"/>
          </w:tcPr>
          <w:p>
            <w:r>
              <w:rPr>
                <w:b/>
                <w:color w:val="E67E22"/>
                <w:sz w:val="18"/>
              </w:rPr>
              <w:t>RISCO ALTO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9,7% inadimplencia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Proximo ao limiar critico</w:t>
            </w:r>
          </w:p>
        </w:tc>
        <w:tc>
          <w:tcPr>
            <w:tcW w:type="dxa" w:w="3135"/>
          </w:tcPr>
          <w:p>
            <w:r>
              <w:rPr>
                <w:b/>
                <w:color w:val="E67E22"/>
                <w:sz w:val="18"/>
              </w:rPr>
              <w:t>RISCO MODERADO-ALTO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Desconto 74,7%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Mercado precifica recuperacao parcial do PL</w:t>
            </w:r>
          </w:p>
        </w:tc>
        <w:tc>
          <w:tcPr>
            <w:tcW w:type="dxa" w:w="3135"/>
          </w:tcPr>
          <w:p>
            <w:r>
              <w:rPr>
                <w:b/>
                <w:color w:val="E67E22"/>
                <w:sz w:val="18"/>
              </w:rPr>
              <w:t>ALERTA ESTRUTURAL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Reserva consumida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Distribuicao com margem estreita</w:t>
            </w:r>
          </w:p>
        </w:tc>
        <w:tc>
          <w:tcPr>
            <w:tcW w:type="dxa" w:w="3135"/>
          </w:tcPr>
          <w:p>
            <w:r>
              <w:rPr>
                <w:b/>
                <w:color w:val="E67E22"/>
                <w:sz w:val="18"/>
              </w:rPr>
              <w:t>RISCO MODERADO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Multipropriedade 33%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Segmento mais fragil do portfolio</w:t>
            </w:r>
          </w:p>
        </w:tc>
        <w:tc>
          <w:tcPr>
            <w:tcW w:type="dxa" w:w="3135"/>
          </w:tcPr>
          <w:p>
            <w:r>
              <w:rPr>
                <w:b/>
                <w:color w:val="E67E22"/>
                <w:sz w:val="18"/>
              </w:rPr>
              <w:t>RISCO CONCENTRADO</w:t>
            </w:r>
          </w:p>
        </w:tc>
      </w:tr>
    </w:tbl>
    <w:p/>
    <w:p>
      <w:r>
        <w:rPr>
          <w:b/>
          <w:color w:val="2C3E50"/>
          <w:sz w:val="26"/>
        </w:rPr>
        <w:t>Conclusao</w:t>
      </w:r>
    </w:p>
    <w:p>
      <w:r>
        <w:rPr>
          <w:b w:val="0"/>
          <w:sz w:val="20"/>
        </w:rPr>
        <w:t>DEVA11 e um FII de papel em estagio de estresse moderado-alto, nao em recuperacao clara. A distribuicao de R$ 0,30/cota e sustentavel no curto prazo, mas depende de:</w:t>
        <w:br/>
        <w:br/>
        <w:t>(1) CRIs em carencia normalizarem pagamentos ao vencer os periodos de carencia;</w:t>
        <w:br/>
        <w:t>(2) Inadimplencia nao subir dos atuais 9,7% para 15%+ - nivel que comprometeria a distribuicao;</w:t>
        <w:br/>
        <w:t>(3) Macroeconomia nao piorar (juros altos prolongados aumentam inadimplencia em multipropriedade e loteamento).</w:t>
        <w:br/>
        <w:br/>
        <w:t>Para o investidor que tem DEVA11 comprado a precos mais altos: manter exposicao a um FII com esse nivel de desconto e esses riscos estruturais so faz sentido com convicção de recuperacao. Nao ha sinal claro de virada no relatorio de marco. A gestora monitora os ativos sem divulgar cronograma de normalizacao das carencias ou plano concreto de reducao de inadimplencia.</w:t>
        <w:br/>
        <w:br/>
        <w:t>VEREDICTO: MANUTENCAO COM CAUTELA.</w:t>
        <w:br/>
        <w:t>Observe os proximos 2 relatorios com foco em: (a) mudanca no % em carencia, (b) evolucao da inadimplencia, (c) variacao da reserva de lucros.</w:t>
      </w:r>
    </w:p>
    <w:p/>
    <w:p>
      <w:r>
        <w:rPr>
          <w:i/>
          <w:color w:val="7F8C8D"/>
          <w:sz w:val="16"/>
        </w:rPr>
        <w:t>DISCLAIMER: Este relatorio e baseado exclusivamente nos documentos publicos do DEVA11 (Informe Mensal CVM Abril/2026 e Relatorio Gerencial Marco/2026). Nao constitui recomendacao de investimento. Dados de mercado referentes a 12/06/2026 conforme extrato B3.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