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BBFDB" w14:textId="78F77B7F" w:rsidR="00A13DEA" w:rsidRDefault="00A13DEA"/>
    <w:p w14:paraId="4949A9DA" w14:textId="2A05EDA2" w:rsidR="00CB6B06" w:rsidRPr="00FB031C" w:rsidRDefault="00CB6B06">
      <w:pPr>
        <w:rPr>
          <w:b/>
          <w:bCs/>
          <w:u w:val="single"/>
        </w:rPr>
      </w:pPr>
    </w:p>
    <w:p w14:paraId="06985B50" w14:textId="3BF0EC6E" w:rsidR="00DE7067" w:rsidRPr="00FB031C" w:rsidRDefault="00FB031C">
      <w:pPr>
        <w:rPr>
          <w:b/>
          <w:bCs/>
          <w:u w:val="single"/>
        </w:rPr>
      </w:pPr>
      <w:r w:rsidRPr="00FB031C">
        <w:rPr>
          <w:b/>
          <w:bCs/>
          <w:u w:val="single"/>
        </w:rPr>
        <w:t>Microstimulation &amp; Optogenetics Optimization using particle swarm optimization</w:t>
      </w:r>
    </w:p>
    <w:p w14:paraId="12AB3C5B" w14:textId="77777777" w:rsidR="00A030F6" w:rsidRDefault="00A030F6" w:rsidP="00A030F6">
      <w:r>
        <w:t>Best cost represents the # of non-motion neurons, given that 45 motion-tuned neurons must be activated</w:t>
      </w:r>
    </w:p>
    <w:p w14:paraId="382E45A9" w14:textId="494B686C" w:rsidR="00A030F6" w:rsidRDefault="00592F41">
      <w:hyperlink r:id="rId4" w:history="1">
        <w:r w:rsidR="00A030F6">
          <w:rPr>
            <w:rStyle w:val="Hyperlink"/>
          </w:rPr>
          <w:t>https://www.mathworks.com/help/gads/particleswarm.html</w:t>
        </w:r>
      </w:hyperlink>
    </w:p>
    <w:p w14:paraId="2B444017" w14:textId="4E373D0F" w:rsidR="00DE7067" w:rsidRDefault="00DE7067">
      <w:r>
        <w:t xml:space="preserve">Microstimulation Alone: </w:t>
      </w:r>
    </w:p>
    <w:p w14:paraId="4D58FCAC" w14:textId="25BD598F" w:rsidR="00DE7067" w:rsidRDefault="00DE7067">
      <w:r w:rsidRPr="00DE7067">
        <w:rPr>
          <w:noProof/>
        </w:rPr>
        <w:drawing>
          <wp:inline distT="0" distB="0" distL="0" distR="0" wp14:anchorId="50460CD5" wp14:editId="4B39952F">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D179BBC" w14:textId="77777777" w:rsidR="00A030F6" w:rsidRDefault="00A030F6"/>
    <w:p w14:paraId="643A91EB" w14:textId="77777777" w:rsidR="00A030F6" w:rsidRDefault="00A030F6"/>
    <w:p w14:paraId="3F80E81B" w14:textId="77777777" w:rsidR="00A030F6" w:rsidRDefault="00A030F6"/>
    <w:p w14:paraId="0E8C1019" w14:textId="77777777" w:rsidR="00A030F6" w:rsidRDefault="00A030F6"/>
    <w:p w14:paraId="23C4E5A7" w14:textId="77777777" w:rsidR="00A030F6" w:rsidRDefault="00A030F6"/>
    <w:p w14:paraId="5EEC1D89" w14:textId="77777777" w:rsidR="00A030F6" w:rsidRDefault="00A030F6"/>
    <w:p w14:paraId="67704917" w14:textId="77777777" w:rsidR="00A030F6" w:rsidRDefault="00A030F6"/>
    <w:p w14:paraId="7307F249" w14:textId="77777777" w:rsidR="00A030F6" w:rsidRDefault="00A030F6"/>
    <w:p w14:paraId="3B597470" w14:textId="77777777" w:rsidR="00A030F6" w:rsidRDefault="00A030F6"/>
    <w:p w14:paraId="6C218183" w14:textId="586C34D6" w:rsidR="00DE7067" w:rsidRDefault="00DE7067">
      <w:r>
        <w:t xml:space="preserve">Optogenetics after </w:t>
      </w:r>
      <w:r w:rsidR="00A030F6">
        <w:t xml:space="preserve">microstimulation </w:t>
      </w:r>
      <w:r w:rsidR="00746768">
        <w:t>optimization:</w:t>
      </w:r>
    </w:p>
    <w:p w14:paraId="302B07E7" w14:textId="6C86C216" w:rsidR="00DE7067" w:rsidRDefault="00DE7067">
      <w:r w:rsidRPr="00DE7067">
        <w:rPr>
          <w:noProof/>
        </w:rPr>
        <w:drawing>
          <wp:inline distT="0" distB="0" distL="0" distR="0" wp14:anchorId="61C66687" wp14:editId="23EFB0B6">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8D0A801" w14:textId="47C9D1F4" w:rsidR="006E353F" w:rsidRDefault="006E353F"/>
    <w:p w14:paraId="0772DA1F" w14:textId="77777777" w:rsidR="00A030F6" w:rsidRDefault="00A030F6"/>
    <w:p w14:paraId="4F8B107A" w14:textId="77777777" w:rsidR="00A030F6" w:rsidRDefault="00A030F6"/>
    <w:p w14:paraId="22798B90" w14:textId="77777777" w:rsidR="00A030F6" w:rsidRDefault="00A030F6"/>
    <w:p w14:paraId="0FE55D2B" w14:textId="77777777" w:rsidR="00A030F6" w:rsidRDefault="00A030F6"/>
    <w:p w14:paraId="7EC309E9" w14:textId="77777777" w:rsidR="00A030F6" w:rsidRDefault="00A030F6"/>
    <w:p w14:paraId="544C2740" w14:textId="77777777" w:rsidR="00A030F6" w:rsidRDefault="00A030F6"/>
    <w:p w14:paraId="49EEC061" w14:textId="77777777" w:rsidR="00A030F6" w:rsidRDefault="00A030F6"/>
    <w:p w14:paraId="14DB2896" w14:textId="77777777" w:rsidR="00A030F6" w:rsidRDefault="00A030F6"/>
    <w:p w14:paraId="3746F9FA" w14:textId="77777777" w:rsidR="00A030F6" w:rsidRDefault="00A030F6"/>
    <w:p w14:paraId="0862CFFE" w14:textId="77777777" w:rsidR="00A030F6" w:rsidRDefault="00A030F6"/>
    <w:p w14:paraId="7E9AD96D" w14:textId="77777777" w:rsidR="00A030F6" w:rsidRDefault="00A030F6"/>
    <w:p w14:paraId="720F5736" w14:textId="77777777" w:rsidR="00A030F6" w:rsidRDefault="00A030F6"/>
    <w:p w14:paraId="24886232" w14:textId="15943704" w:rsidR="006E353F" w:rsidRDefault="006E353F">
      <w:proofErr w:type="spellStart"/>
      <w:r>
        <w:t>Microstim</w:t>
      </w:r>
      <w:proofErr w:type="spellEnd"/>
      <w:r>
        <w:t xml:space="preserve"> + </w:t>
      </w:r>
      <w:proofErr w:type="spellStart"/>
      <w:r>
        <w:t>Opto</w:t>
      </w:r>
      <w:proofErr w:type="spellEnd"/>
      <w:r>
        <w:t xml:space="preserve"> optimization together:</w:t>
      </w:r>
    </w:p>
    <w:p w14:paraId="48B94871" w14:textId="4661D2AD" w:rsidR="006E353F" w:rsidRDefault="00B23AFA">
      <w:r w:rsidRPr="00B23AFA">
        <w:rPr>
          <w:noProof/>
        </w:rPr>
        <w:drawing>
          <wp:inline distT="0" distB="0" distL="0" distR="0" wp14:anchorId="68809875" wp14:editId="15521383">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1DC0693" w14:textId="0054C3AB" w:rsidR="00B756F5" w:rsidRDefault="00B756F5"/>
    <w:p w14:paraId="4EE32B92" w14:textId="7C0B5F92" w:rsidR="00B756F5" w:rsidRDefault="00B756F5"/>
    <w:p w14:paraId="5B5E62F7" w14:textId="4F07928B" w:rsidR="00B756F5" w:rsidRDefault="00B756F5"/>
    <w:p w14:paraId="708DBF27" w14:textId="08EB2126" w:rsidR="00B756F5" w:rsidRDefault="00B756F5"/>
    <w:p w14:paraId="3F636A86" w14:textId="63FA679A" w:rsidR="00B756F5" w:rsidRDefault="00B756F5"/>
    <w:p w14:paraId="18655F61" w14:textId="0408DD51" w:rsidR="00B756F5" w:rsidRDefault="00B756F5"/>
    <w:p w14:paraId="631F0E11" w14:textId="396B915F" w:rsidR="00B756F5" w:rsidRDefault="00B756F5"/>
    <w:p w14:paraId="6EB4B244" w14:textId="2527C2DB" w:rsidR="00B756F5" w:rsidRDefault="00B756F5"/>
    <w:p w14:paraId="016B119F" w14:textId="038FADDF" w:rsidR="00B756F5" w:rsidRDefault="00B756F5"/>
    <w:p w14:paraId="3A0E04D4" w14:textId="46DBFC8F" w:rsidR="00B756F5" w:rsidRDefault="00B756F5"/>
    <w:p w14:paraId="0074D5BE" w14:textId="1D387AB2" w:rsidR="00B756F5" w:rsidRDefault="00B756F5"/>
    <w:p w14:paraId="1AC7B9A3" w14:textId="7B295F51" w:rsidR="00B756F5" w:rsidRDefault="00B756F5"/>
    <w:p w14:paraId="7D3A985A" w14:textId="4BF3A8E9" w:rsidR="00B756F5" w:rsidRDefault="00B756F5"/>
    <w:p w14:paraId="1DEC6CFE" w14:textId="121DFDBB" w:rsidR="00B756F5" w:rsidRDefault="00B756F5"/>
    <w:p w14:paraId="239B9DEA" w14:textId="0901E3C0" w:rsidR="00B756F5" w:rsidRDefault="00B756F5">
      <w:pPr>
        <w:rPr>
          <w:b/>
          <w:bCs/>
          <w:u w:val="single"/>
        </w:rPr>
      </w:pPr>
      <w:r w:rsidRPr="00B756F5">
        <w:rPr>
          <w:b/>
          <w:bCs/>
          <w:u w:val="single"/>
        </w:rPr>
        <w:t>Oscillatory Neurons</w:t>
      </w:r>
    </w:p>
    <w:p w14:paraId="288AFD91" w14:textId="2BFEDBD9" w:rsidR="00B756F5" w:rsidRPr="00B756F5" w:rsidRDefault="00592F41">
      <w:hyperlink r:id="rId8" w:anchor="sec004" w:history="1">
        <w:r w:rsidR="00B756F5">
          <w:rPr>
            <w:rStyle w:val="Hyperlink"/>
          </w:rPr>
          <w:t>https://www.ncbi.nlm.nih.gov/pmc/articles/PMC4409360/#sec004</w:t>
        </w:r>
      </w:hyperlink>
    </w:p>
    <w:p w14:paraId="34981560" w14:textId="0CDEFD50" w:rsidR="00B756F5" w:rsidRDefault="00B756F5">
      <w:pPr>
        <w:rPr>
          <w:b/>
          <w:bCs/>
          <w:u w:val="single"/>
        </w:rPr>
      </w:pPr>
      <w:r>
        <w:rPr>
          <w:noProof/>
        </w:rPr>
        <w:drawing>
          <wp:inline distT="0" distB="0" distL="0" distR="0" wp14:anchorId="61A8A633" wp14:editId="1DFCDEF3">
            <wp:extent cx="31527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561975"/>
                    </a:xfrm>
                    <a:prstGeom prst="rect">
                      <a:avLst/>
                    </a:prstGeom>
                  </pic:spPr>
                </pic:pic>
              </a:graphicData>
            </a:graphic>
          </wp:inline>
        </w:drawing>
      </w:r>
    </w:p>
    <w:p w14:paraId="3B99B5C4" w14:textId="6E35F906" w:rsidR="00B756F5" w:rsidRDefault="00B756F5">
      <w:pPr>
        <w:rPr>
          <w:color w:val="000000"/>
          <w:shd w:val="clear" w:color="auto" w:fill="FFFFFF"/>
        </w:rPr>
      </w:pPr>
      <w:r>
        <w:rPr>
          <w:rStyle w:val="Emphasis"/>
          <w:color w:val="000000"/>
          <w:shd w:val="clear" w:color="auto" w:fill="FFFFFF"/>
        </w:rPr>
        <w:t>r</w:t>
      </w:r>
      <w:r>
        <w:rPr>
          <w:color w:val="000000"/>
          <w:shd w:val="clear" w:color="auto" w:fill="FFFFFF"/>
        </w:rPr>
        <w:t> </w:t>
      </w:r>
      <w:r>
        <w:rPr>
          <w:color w:val="000000"/>
          <w:sz w:val="20"/>
          <w:szCs w:val="20"/>
          <w:shd w:val="clear" w:color="auto" w:fill="FFFFFF"/>
          <w:vertAlign w:val="subscript"/>
        </w:rPr>
        <w:t>0</w:t>
      </w:r>
      <w:r>
        <w:rPr>
          <w:color w:val="000000"/>
          <w:shd w:val="clear" w:color="auto" w:fill="FFFFFF"/>
        </w:rPr>
        <w:t> is the baseline firing rate, 0 ≤ </w:t>
      </w:r>
      <w:r>
        <w:rPr>
          <w:rStyle w:val="Emphasis"/>
          <w:color w:val="000000"/>
          <w:shd w:val="clear" w:color="auto" w:fill="FFFFFF"/>
        </w:rPr>
        <w:t>m</w:t>
      </w:r>
      <w:r>
        <w:rPr>
          <w:color w:val="000000"/>
          <w:shd w:val="clear" w:color="auto" w:fill="FFFFFF"/>
        </w:rPr>
        <w:t> ≤ 1 is the modulation index, and </w:t>
      </w:r>
      <w:r>
        <w:rPr>
          <w:rStyle w:val="Emphasis"/>
          <w:color w:val="000000"/>
          <w:shd w:val="clear" w:color="auto" w:fill="FFFFFF"/>
        </w:rPr>
        <w:t>f</w:t>
      </w:r>
      <w:r>
        <w:rPr>
          <w:color w:val="000000"/>
          <w:shd w:val="clear" w:color="auto" w:fill="FFFFFF"/>
        </w:rPr>
        <w:t> </w:t>
      </w:r>
      <w:r>
        <w:rPr>
          <w:color w:val="000000"/>
          <w:sz w:val="20"/>
          <w:szCs w:val="20"/>
          <w:shd w:val="clear" w:color="auto" w:fill="FFFFFF"/>
          <w:vertAlign w:val="subscript"/>
        </w:rPr>
        <w:t>0</w:t>
      </w:r>
      <w:r>
        <w:rPr>
          <w:color w:val="000000"/>
          <w:shd w:val="clear" w:color="auto" w:fill="FFFFFF"/>
        </w:rPr>
        <w:t> is the oscillation frequency</w:t>
      </w:r>
    </w:p>
    <w:p w14:paraId="279F4D5F" w14:textId="259410DD" w:rsidR="00B756F5" w:rsidRDefault="00B756F5">
      <w:pPr>
        <w:rPr>
          <w:color w:val="000000"/>
          <w:shd w:val="clear" w:color="auto" w:fill="FFFFFF"/>
        </w:rPr>
      </w:pPr>
      <w:r>
        <w:rPr>
          <w:color w:val="000000"/>
          <w:shd w:val="clear" w:color="auto" w:fill="FFFFFF"/>
        </w:rPr>
        <w:t>The results of the detection of oscillatory neurons using the modulation index indicate that it is dependent on the baseline rate, such that the detection is better for higher firing rates (</w:t>
      </w:r>
      <w:hyperlink r:id="rId10" w:tgtFrame="figure" w:history="1">
        <w:r>
          <w:rPr>
            <w:rStyle w:val="Hyperlink"/>
            <w:color w:val="642A8F"/>
            <w:shd w:val="clear" w:color="auto" w:fill="FFFFFF"/>
          </w:rPr>
          <w:t>Fig 4C</w:t>
        </w:r>
      </w:hyperlink>
      <w:r>
        <w:rPr>
          <w:color w:val="000000"/>
          <w:shd w:val="clear" w:color="auto" w:fill="FFFFFF"/>
        </w:rPr>
        <w:t>). For example, when the modulation is 0.4, and the required detection probability is 80%, the firing rate should be higher than 15 spikes/s</w:t>
      </w:r>
    </w:p>
    <w:p w14:paraId="3C57C6A0" w14:textId="7888B59B" w:rsidR="00B756F5" w:rsidRDefault="00B756F5">
      <w:pPr>
        <w:rPr>
          <w:b/>
          <w:bCs/>
          <w:u w:val="single"/>
        </w:rPr>
      </w:pPr>
      <w:r>
        <w:rPr>
          <w:noProof/>
        </w:rPr>
        <w:drawing>
          <wp:inline distT="0" distB="0" distL="0" distR="0" wp14:anchorId="480212CB" wp14:editId="1297CBFE">
            <wp:extent cx="410527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248025"/>
                    </a:xfrm>
                    <a:prstGeom prst="rect">
                      <a:avLst/>
                    </a:prstGeom>
                  </pic:spPr>
                </pic:pic>
              </a:graphicData>
            </a:graphic>
          </wp:inline>
        </w:drawing>
      </w:r>
    </w:p>
    <w:p w14:paraId="24FE6CE6" w14:textId="2A0139F7" w:rsidR="00B756F5" w:rsidRDefault="001F2A1A">
      <w:pPr>
        <w:rPr>
          <w:b/>
          <w:bCs/>
          <w:u w:val="single"/>
        </w:rPr>
      </w:pPr>
      <w:r>
        <w:t>AKA as we increase base firing rate, we decrease the modulation rate necessary for the generation of a reliable spectrum</w:t>
      </w:r>
    </w:p>
    <w:p w14:paraId="7788D224" w14:textId="3CE4EEF9" w:rsidR="00B756F5" w:rsidRDefault="00B756F5">
      <w:r>
        <w:t>Therefore I used modulation rate</w:t>
      </w:r>
      <w:r w:rsidR="00E5376D">
        <w:t xml:space="preserve"> </w:t>
      </w:r>
      <w:r w:rsidR="001B3E46">
        <w:t>= 1 to best view the oscillation</w:t>
      </w:r>
    </w:p>
    <w:p w14:paraId="35B090C9" w14:textId="0C33F975" w:rsidR="00FB031C" w:rsidRDefault="00FB031C">
      <w:r>
        <w:t>The neuron will have a frequency of 35 – 45 Hz every trial</w:t>
      </w:r>
    </w:p>
    <w:p w14:paraId="40F5B82C" w14:textId="2DA75271" w:rsidR="00A030F6" w:rsidRDefault="00A030F6"/>
    <w:p w14:paraId="07128675" w14:textId="6CBCDBF7" w:rsidR="00A030F6" w:rsidRDefault="00A030F6"/>
    <w:p w14:paraId="244F8C0B" w14:textId="77777777" w:rsidR="00A030F6" w:rsidRDefault="00A030F6"/>
    <w:p w14:paraId="457950AD"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function</w:t>
      </w:r>
      <w:proofErr w:type="gramEnd"/>
      <w:r>
        <w:rPr>
          <w:rFonts w:ascii="Courier New" w:hAnsi="Courier New" w:cs="Courier New"/>
          <w:color w:val="000000"/>
          <w:sz w:val="20"/>
          <w:szCs w:val="20"/>
        </w:rPr>
        <w:t xml:space="preserve"> Spikes = </w:t>
      </w:r>
      <w:proofErr w:type="spellStart"/>
      <w:r>
        <w:rPr>
          <w:rFonts w:ascii="Courier New" w:hAnsi="Courier New" w:cs="Courier New"/>
          <w:color w:val="000000"/>
          <w:sz w:val="20"/>
          <w:szCs w:val="20"/>
        </w:rPr>
        <w:t>Oscillatory_PoissonGen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Firing_Rate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NumTrials</w:t>
      </w:r>
      <w:proofErr w:type="spellEnd"/>
      <w:r>
        <w:rPr>
          <w:rFonts w:ascii="Courier New" w:hAnsi="Courier New" w:cs="Courier New"/>
          <w:color w:val="000000"/>
          <w:sz w:val="20"/>
          <w:szCs w:val="20"/>
        </w:rPr>
        <w:t>)</w:t>
      </w:r>
    </w:p>
    <w:p w14:paraId="5A18CB5F"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dur = 1;</w:t>
      </w:r>
    </w:p>
    <w:p w14:paraId="043EE324"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modIndex</w:t>
      </w:r>
      <w:proofErr w:type="spellEnd"/>
      <w:r>
        <w:rPr>
          <w:rFonts w:ascii="Courier New" w:hAnsi="Courier New" w:cs="Courier New"/>
          <w:color w:val="000000"/>
          <w:sz w:val="20"/>
          <w:szCs w:val="20"/>
        </w:rPr>
        <w:t xml:space="preserve"> = 1; </w:t>
      </w:r>
      <w:r>
        <w:rPr>
          <w:rFonts w:ascii="Courier New" w:hAnsi="Courier New" w:cs="Courier New"/>
          <w:color w:val="3C763D"/>
          <w:sz w:val="20"/>
          <w:szCs w:val="20"/>
        </w:rPr>
        <w:t>% Higher modulation = higher variability in sine wave</w:t>
      </w:r>
    </w:p>
    <w:p w14:paraId="7B9C9791"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NumSteps</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Number of time steps</w:t>
      </w:r>
    </w:p>
    <w:p w14:paraId="416F9E6C"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1:1</w:t>
      </w:r>
      <w:proofErr w:type="gramStart"/>
      <w:r>
        <w:rPr>
          <w:rFonts w:ascii="Courier New" w:hAnsi="Courier New" w:cs="Courier New"/>
          <w:color w:val="000000"/>
          <w:sz w:val="20"/>
          <w:szCs w:val="20"/>
        </w:rPr>
        <w:t>:NumSteps</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Time vector</w:t>
      </w:r>
    </w:p>
    <w:p w14:paraId="721D5BBD"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[35 45],NumTrials,1); </w:t>
      </w:r>
      <w:r>
        <w:rPr>
          <w:rFonts w:ascii="Courier New" w:hAnsi="Courier New" w:cs="Courier New"/>
          <w:color w:val="3C763D"/>
          <w:sz w:val="20"/>
          <w:szCs w:val="20"/>
        </w:rPr>
        <w:t>% Gamma Hz Oscillation</w:t>
      </w:r>
    </w:p>
    <w:p w14:paraId="6B555EF0"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Spike_Probability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Firing_Rate</w:t>
      </w:r>
      <w:proofErr w:type="spellEnd"/>
      <w:r>
        <w:rPr>
          <w:rFonts w:ascii="Courier New" w:hAnsi="Courier New" w:cs="Courier New"/>
          <w:color w:val="000000"/>
          <w:sz w:val="20"/>
          <w:szCs w:val="20"/>
        </w:rPr>
        <w:t xml:space="preserve"> * (1/dur) * (1 + </w:t>
      </w:r>
      <w:proofErr w:type="spellStart"/>
      <w:proofErr w:type="gramStart"/>
      <w:r>
        <w:rPr>
          <w:rFonts w:ascii="Courier New" w:hAnsi="Courier New" w:cs="Courier New"/>
          <w:color w:val="000000"/>
          <w:sz w:val="20"/>
          <w:szCs w:val="20"/>
        </w:rPr>
        <w:t>modIndex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cos(2*pi *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t/</w:t>
      </w:r>
      <w:proofErr w:type="spellStart"/>
      <w:r>
        <w:rPr>
          <w:rFonts w:ascii="Courier New" w:hAnsi="Courier New" w:cs="Courier New"/>
          <w:color w:val="000000"/>
          <w:sz w:val="20"/>
          <w:szCs w:val="20"/>
        </w:rPr>
        <w:t>NumSteps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xml:space="preserve">% Probability of spike </w:t>
      </w:r>
      <w:proofErr w:type="spellStart"/>
      <w:r>
        <w:rPr>
          <w:rFonts w:ascii="Courier New" w:hAnsi="Courier New" w:cs="Courier New"/>
          <w:color w:val="3C763D"/>
          <w:sz w:val="20"/>
          <w:szCs w:val="20"/>
        </w:rPr>
        <w:t>occuring</w:t>
      </w:r>
      <w:proofErr w:type="spellEnd"/>
      <w:r>
        <w:rPr>
          <w:rFonts w:ascii="Courier New" w:hAnsi="Courier New" w:cs="Courier New"/>
          <w:color w:val="3C763D"/>
          <w:sz w:val="20"/>
          <w:szCs w:val="20"/>
        </w:rPr>
        <w:t xml:space="preserve"> in time step</w:t>
      </w:r>
    </w:p>
    <w:p w14:paraId="45281200"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X_random</w:t>
      </w:r>
      <w:proofErr w:type="spellEnd"/>
      <w:r>
        <w:rPr>
          <w:rFonts w:ascii="Courier New" w:hAnsi="Courier New" w:cs="Courier New"/>
          <w:color w:val="000000"/>
          <w:sz w:val="20"/>
          <w:szCs w:val="20"/>
        </w:rPr>
        <w:t xml:space="preserve"> = 1 + (0-1).*</w:t>
      </w:r>
      <w:proofErr w:type="gramStart"/>
      <w:r>
        <w:rPr>
          <w:rFonts w:ascii="Courier New" w:hAnsi="Courier New" w:cs="Courier New"/>
          <w:color w:val="000000"/>
          <w:sz w:val="20"/>
          <w:szCs w:val="20"/>
        </w:rPr>
        <w:t>rand(</w:t>
      </w:r>
      <w:proofErr w:type="spellStart"/>
      <w:proofErr w:type="gramEnd"/>
      <w:r>
        <w:rPr>
          <w:rFonts w:ascii="Courier New" w:hAnsi="Courier New" w:cs="Courier New"/>
          <w:color w:val="000000"/>
          <w:sz w:val="20"/>
          <w:szCs w:val="20"/>
        </w:rPr>
        <w:t>NumTrials,NumSteps</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Random Number that spike probability must overcome</w:t>
      </w:r>
    </w:p>
    <w:p w14:paraId="2D476ABC"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Spikes = (</w:t>
      </w:r>
      <w:proofErr w:type="spellStart"/>
      <w:r>
        <w:rPr>
          <w:rFonts w:ascii="Courier New" w:hAnsi="Courier New" w:cs="Courier New"/>
          <w:color w:val="000000"/>
          <w:sz w:val="20"/>
          <w:szCs w:val="20"/>
        </w:rPr>
        <w:t>X_random</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Spike_Probability</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1 = spike, 0 = no spike</w:t>
      </w:r>
    </w:p>
    <w:p w14:paraId="27D674E2" w14:textId="77777777" w:rsidR="00A030F6" w:rsidRDefault="00A030F6" w:rsidP="00A030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Trial_Spikes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Spikes, 2); </w:t>
      </w:r>
      <w:r>
        <w:rPr>
          <w:rFonts w:ascii="Courier New" w:hAnsi="Courier New" w:cs="Courier New"/>
          <w:color w:val="3C763D"/>
          <w:sz w:val="20"/>
          <w:szCs w:val="20"/>
        </w:rPr>
        <w:t>% Sum of all spikes per trial</w:t>
      </w:r>
    </w:p>
    <w:p w14:paraId="694EB99F" w14:textId="77777777" w:rsidR="00A030F6" w:rsidRDefault="00A030F6" w:rsidP="00A030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7B96325" w14:textId="5E1D5F80" w:rsidR="00FB031C" w:rsidRDefault="00FB031C"/>
    <w:p w14:paraId="69750301" w14:textId="77777777" w:rsidR="00FB031C" w:rsidRPr="00B756F5" w:rsidRDefault="00FB031C"/>
    <w:p w14:paraId="324A8B85" w14:textId="019FAF03" w:rsidR="00B756F5" w:rsidRDefault="00B756F5">
      <w:r>
        <w:t>This figure shows the probability of a spike occurring in the time series</w:t>
      </w:r>
    </w:p>
    <w:p w14:paraId="0CF72509" w14:textId="27CB638D" w:rsidR="00B756F5" w:rsidRDefault="00E5376D">
      <w:r w:rsidRPr="00E5376D">
        <w:rPr>
          <w:noProof/>
        </w:rPr>
        <w:drawing>
          <wp:inline distT="0" distB="0" distL="0" distR="0" wp14:anchorId="5A4C2814" wp14:editId="37648EE9">
            <wp:extent cx="5324475" cy="399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54ECFB6" w14:textId="7B836217" w:rsidR="00B756F5" w:rsidRDefault="00B756F5"/>
    <w:p w14:paraId="7A5706EF" w14:textId="77B20551" w:rsidR="00B756F5" w:rsidRDefault="00B756F5"/>
    <w:p w14:paraId="50D94E64" w14:textId="77777777" w:rsidR="00FB031C" w:rsidRDefault="00FB031C"/>
    <w:p w14:paraId="5CD10F64" w14:textId="1ABC3879" w:rsidR="00FB031C" w:rsidRDefault="00FB031C"/>
    <w:p w14:paraId="41CF2F75" w14:textId="77777777" w:rsidR="00A030F6" w:rsidRDefault="00A030F6"/>
    <w:p w14:paraId="1FE6ECEB" w14:textId="1965433C" w:rsidR="00FB031C" w:rsidRDefault="00FB031C">
      <w:r>
        <w:lastRenderedPageBreak/>
        <w:t>The following figure is the PSD for one neuron</w:t>
      </w:r>
    </w:p>
    <w:p w14:paraId="4F07EB52" w14:textId="3C38A662" w:rsidR="00FB031C" w:rsidRDefault="00FB031C">
      <w:r w:rsidRPr="00FB031C">
        <w:rPr>
          <w:noProof/>
        </w:rPr>
        <w:drawing>
          <wp:inline distT="0" distB="0" distL="0" distR="0" wp14:anchorId="000C5829" wp14:editId="476ADD5B">
            <wp:extent cx="5324475"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453DABC" w14:textId="77777777" w:rsidR="00FB031C" w:rsidRDefault="00FB031C"/>
    <w:p w14:paraId="45FD4988" w14:textId="5B484AD0" w:rsidR="00B756F5" w:rsidRDefault="00B756F5"/>
    <w:p w14:paraId="7F6B0572" w14:textId="77777777" w:rsidR="00FB031C" w:rsidRDefault="00FB031C"/>
    <w:p w14:paraId="4DAB4E33" w14:textId="3FE3C72E" w:rsidR="00B756F5" w:rsidRDefault="00B756F5"/>
    <w:p w14:paraId="205D0295" w14:textId="2B38E3EC" w:rsidR="00B756F5" w:rsidRDefault="00B756F5"/>
    <w:p w14:paraId="408CADC0" w14:textId="6FF2707F" w:rsidR="00B756F5" w:rsidRDefault="00B756F5"/>
    <w:p w14:paraId="42D2987F" w14:textId="24310A65" w:rsidR="00B756F5" w:rsidRDefault="00B756F5"/>
    <w:p w14:paraId="08687865" w14:textId="040225F0" w:rsidR="00B756F5" w:rsidRDefault="00B756F5"/>
    <w:p w14:paraId="61762421" w14:textId="0C54EBD2" w:rsidR="00655CE8" w:rsidRDefault="00655CE8"/>
    <w:p w14:paraId="30E784FF" w14:textId="3CE5FCD5" w:rsidR="00655CE8" w:rsidRDefault="00655CE8"/>
    <w:p w14:paraId="5E215B2F" w14:textId="40B3F1D1" w:rsidR="00655CE8" w:rsidRDefault="00655CE8"/>
    <w:p w14:paraId="1C6FC471" w14:textId="445C6981" w:rsidR="00FA19E8" w:rsidRDefault="00FA19E8"/>
    <w:p w14:paraId="28485713" w14:textId="77777777" w:rsidR="00A030F6" w:rsidRDefault="00A030F6"/>
    <w:p w14:paraId="7096517E" w14:textId="0DE09562" w:rsidR="00FA19E8" w:rsidRDefault="00FA19E8">
      <w:r>
        <w:lastRenderedPageBreak/>
        <w:t>Various PSDs:</w:t>
      </w:r>
    </w:p>
    <w:p w14:paraId="7BCF7A55" w14:textId="4F08B09B" w:rsidR="00FA19E8" w:rsidRDefault="00FA19E8">
      <w:r w:rsidRPr="00FA19E8">
        <w:rPr>
          <w:noProof/>
        </w:rPr>
        <w:drawing>
          <wp:inline distT="0" distB="0" distL="0" distR="0" wp14:anchorId="41B5D10F" wp14:editId="179E5DC2">
            <wp:extent cx="5095875" cy="38196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8833" cy="3821844"/>
                    </a:xfrm>
                    <a:prstGeom prst="rect">
                      <a:avLst/>
                    </a:prstGeom>
                    <a:noFill/>
                    <a:ln>
                      <a:noFill/>
                    </a:ln>
                  </pic:spPr>
                </pic:pic>
              </a:graphicData>
            </a:graphic>
          </wp:inline>
        </w:drawing>
      </w:r>
    </w:p>
    <w:p w14:paraId="1B6BFD8E" w14:textId="1F0033FA" w:rsidR="00FA19E8" w:rsidRDefault="00FA19E8">
      <w:r w:rsidRPr="00FA19E8">
        <w:rPr>
          <w:noProof/>
        </w:rPr>
        <w:drawing>
          <wp:inline distT="0" distB="0" distL="0" distR="0" wp14:anchorId="4AB0CD4A" wp14:editId="06CA6E90">
            <wp:extent cx="4886325" cy="36625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818" cy="3664426"/>
                    </a:xfrm>
                    <a:prstGeom prst="rect">
                      <a:avLst/>
                    </a:prstGeom>
                    <a:noFill/>
                    <a:ln>
                      <a:noFill/>
                    </a:ln>
                  </pic:spPr>
                </pic:pic>
              </a:graphicData>
            </a:graphic>
          </wp:inline>
        </w:drawing>
      </w:r>
      <w:bookmarkStart w:id="0" w:name="_GoBack"/>
      <w:bookmarkEnd w:id="0"/>
    </w:p>
    <w:p w14:paraId="65D6B0FF" w14:textId="7AF02423" w:rsidR="00FA19E8" w:rsidRDefault="00FA19E8"/>
    <w:p w14:paraId="69A746A0" w14:textId="514D6854" w:rsidR="00FA19E8" w:rsidRDefault="00FA19E8"/>
    <w:p w14:paraId="21A83031" w14:textId="3C6329EC" w:rsidR="00FA19E8" w:rsidRDefault="00FA19E8">
      <w:r w:rsidRPr="00FA19E8">
        <w:rPr>
          <w:noProof/>
        </w:rPr>
        <w:drawing>
          <wp:inline distT="0" distB="0" distL="0" distR="0" wp14:anchorId="37BB3AC5" wp14:editId="18700076">
            <wp:extent cx="4743450" cy="355546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5547" cy="3557038"/>
                    </a:xfrm>
                    <a:prstGeom prst="rect">
                      <a:avLst/>
                    </a:prstGeom>
                    <a:noFill/>
                    <a:ln>
                      <a:noFill/>
                    </a:ln>
                  </pic:spPr>
                </pic:pic>
              </a:graphicData>
            </a:graphic>
          </wp:inline>
        </w:drawing>
      </w:r>
    </w:p>
    <w:p w14:paraId="434C11B5" w14:textId="7CB9750A" w:rsidR="00FA19E8" w:rsidRDefault="00FA19E8">
      <w:r w:rsidRPr="00FA19E8">
        <w:rPr>
          <w:noProof/>
        </w:rPr>
        <w:drawing>
          <wp:inline distT="0" distB="0" distL="0" distR="0" wp14:anchorId="2C9EF09E" wp14:editId="32DDA96C">
            <wp:extent cx="4772025" cy="357688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8096" cy="3581436"/>
                    </a:xfrm>
                    <a:prstGeom prst="rect">
                      <a:avLst/>
                    </a:prstGeom>
                    <a:noFill/>
                    <a:ln>
                      <a:noFill/>
                    </a:ln>
                  </pic:spPr>
                </pic:pic>
              </a:graphicData>
            </a:graphic>
          </wp:inline>
        </w:drawing>
      </w:r>
    </w:p>
    <w:p w14:paraId="71CBF48B" w14:textId="647FD923" w:rsidR="00FA19E8" w:rsidRDefault="00FA19E8"/>
    <w:p w14:paraId="17B9EDDB" w14:textId="77777777" w:rsidR="00FA19E8" w:rsidRDefault="00FA19E8"/>
    <w:p w14:paraId="32F14B42" w14:textId="69EFA22E" w:rsidR="00655CE8" w:rsidRPr="00FA19E8" w:rsidRDefault="00655CE8">
      <w:pPr>
        <w:rPr>
          <w:b/>
          <w:bCs/>
        </w:rPr>
      </w:pPr>
      <w:r w:rsidRPr="00FA19E8">
        <w:rPr>
          <w:b/>
          <w:bCs/>
        </w:rPr>
        <w:lastRenderedPageBreak/>
        <w:t>Proposed paper for journal club:</w:t>
      </w:r>
    </w:p>
    <w:p w14:paraId="23AB5B2F" w14:textId="248BFABB" w:rsidR="00655CE8" w:rsidRDefault="00592F41">
      <w:hyperlink r:id="rId18" w:history="1">
        <w:r w:rsidR="00655CE8">
          <w:rPr>
            <w:rStyle w:val="Hyperlink"/>
          </w:rPr>
          <w:t>https://iopscience.iop.org/article/10.1088/1741-2552/ab4d99/pdf</w:t>
        </w:r>
      </w:hyperlink>
    </w:p>
    <w:p w14:paraId="291E8D82" w14:textId="688B2BCC" w:rsidR="00655CE8" w:rsidRDefault="00655CE8">
      <w:r>
        <w:t>Object stiffness recognition using haptic feedback delivered through transcutaneous proximal nerve stimulation</w:t>
      </w:r>
    </w:p>
    <w:p w14:paraId="48A2DE28" w14:textId="77777777" w:rsidR="0025088D" w:rsidRDefault="00655CE8">
      <w:r w:rsidRPr="0025088D">
        <w:rPr>
          <w:b/>
          <w:bCs/>
        </w:rPr>
        <w:t xml:space="preserve">Abstract </w:t>
      </w:r>
    </w:p>
    <w:p w14:paraId="3E1C1C42" w14:textId="2D52480D" w:rsidR="00655CE8" w:rsidRDefault="00655CE8">
      <w:r>
        <w:t xml:space="preserve">Haptic feedback is crucial when we manipulate objects. Information pertaining to an object’s stiffness in particular can help facilitate fine motor control. In this study, we seek to determine whether objects of different stiffness levels can be recognized using haptic feedback provided by transcutaneous electrical stimulation of peripheral nerves. Approach. Using a stimulation electrode grid placed along the medial side of the upper arm, the median and ulnar nerve bundles were targeted to evoke haptic sensation on the palmar side of the hand. Stimulation current amplitude was modulated in real-time with the fingertip force recorded from a </w:t>
      </w:r>
      <w:proofErr w:type="spellStart"/>
      <w:r>
        <w:t>sensorized</w:t>
      </w:r>
      <w:proofErr w:type="spellEnd"/>
      <w:r>
        <w:t xml:space="preserve"> prosthetic hand. In order to evaluate which stimulation pattern was more critical, object stiffness was encoded either by the rate of change of the stimulus amplitude or the level of peak stimulus amplitude, as the prosthesis grasped the objects. Main results. Both encoding methods allowed the subjects to differentiate objects of different stiffness levels with &gt;90% accuracy. No significant difference was observed between the two encoding methods, which indicated that both the rate of change of the stimulation amplitude and the peak stimulation amplitude could effectively provide stiffness information of the objects. Significance. The outcomes suggest that it is possible to elicit haptic sensations describing various object stiffness levels using transcutaneous nerve stimulation. The haptic feedback associated with object stiffness can facilitate object manipulation/interactions. It may also improve user experience during human–machine interactions, when object stiffness information is incorporated.</w:t>
      </w:r>
    </w:p>
    <w:sectPr w:rsidR="0065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06"/>
    <w:rsid w:val="001B3E46"/>
    <w:rsid w:val="001F2A1A"/>
    <w:rsid w:val="0025088D"/>
    <w:rsid w:val="00592F41"/>
    <w:rsid w:val="00655CE8"/>
    <w:rsid w:val="006E353F"/>
    <w:rsid w:val="00746768"/>
    <w:rsid w:val="00A030F6"/>
    <w:rsid w:val="00A13DEA"/>
    <w:rsid w:val="00B23AFA"/>
    <w:rsid w:val="00B756F5"/>
    <w:rsid w:val="00C177D8"/>
    <w:rsid w:val="00CB6B06"/>
    <w:rsid w:val="00DE7067"/>
    <w:rsid w:val="00E5376D"/>
    <w:rsid w:val="00FA19E8"/>
    <w:rsid w:val="00FB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11C4"/>
  <w15:chartTrackingRefBased/>
  <w15:docId w15:val="{CB6BBC70-D968-4D73-AAC9-72FFEF0D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56F5"/>
    <w:rPr>
      <w:color w:val="0000FF"/>
      <w:u w:val="single"/>
    </w:rPr>
  </w:style>
  <w:style w:type="character" w:styleId="Emphasis">
    <w:name w:val="Emphasis"/>
    <w:basedOn w:val="DefaultParagraphFont"/>
    <w:uiPriority w:val="20"/>
    <w:qFormat/>
    <w:rsid w:val="00B756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409360/" TargetMode="External"/><Relationship Id="rId13" Type="http://schemas.openxmlformats.org/officeDocument/2006/relationships/image" Target="media/image7.emf"/><Relationship Id="rId18" Type="http://schemas.openxmlformats.org/officeDocument/2006/relationships/hyperlink" Target="https://iopscience.iop.org/article/10.1088/1741-2552/ab4d99/pdf" TargetMode="Externa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ettings" Target="setting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emf"/><Relationship Id="rId10" Type="http://schemas.openxmlformats.org/officeDocument/2006/relationships/hyperlink" Target="https://www.ncbi.nlm.nih.gov/pmc/articles/PMC4409360/figure/pcbi.1004252.g004/" TargetMode="External"/><Relationship Id="rId19" Type="http://schemas.openxmlformats.org/officeDocument/2006/relationships/fontTable" Target="fontTable.xml"/><Relationship Id="rId4" Type="http://schemas.openxmlformats.org/officeDocument/2006/relationships/hyperlink" Target="https://www.mathworks.com/help/gads/particleswarm.html" TargetMode="Externa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baez</dc:creator>
  <cp:keywords/>
  <dc:description/>
  <cp:lastModifiedBy>hector baez</cp:lastModifiedBy>
  <cp:revision>4</cp:revision>
  <dcterms:created xsi:type="dcterms:W3CDTF">2020-02-27T18:19:00Z</dcterms:created>
  <dcterms:modified xsi:type="dcterms:W3CDTF">2020-02-27T20:36:00Z</dcterms:modified>
</cp:coreProperties>
</file>