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5D" w:rsidRDefault="00375AB9" w:rsidP="00375AB9">
      <w:pPr>
        <w:pStyle w:val="Overskrift3"/>
        <w:rPr>
          <w:lang w:val="en-US"/>
        </w:rPr>
      </w:pPr>
      <w:r>
        <w:rPr>
          <w:lang w:val="en-US"/>
        </w:rPr>
        <w:t>Mapping Scheme</w:t>
      </w:r>
    </w:p>
    <w:p w:rsidR="00375AB9" w:rsidRDefault="00375AB9" w:rsidP="00375AB9">
      <w:pPr>
        <w:pStyle w:val="Overskrift4"/>
      </w:pPr>
      <w:r>
        <w:t>Design</w:t>
      </w:r>
    </w:p>
    <w:p w:rsidR="00375AB9" w:rsidRDefault="004F4596" w:rsidP="00375AB9">
      <w:r>
        <w:t>Mapping Scheme klassens har til funktion af løse to opgaver</w:t>
      </w:r>
    </w:p>
    <w:p w:rsidR="004F4596" w:rsidRDefault="004F4596" w:rsidP="004F4596">
      <w:pPr>
        <w:pStyle w:val="Listeafsnit"/>
        <w:numPr>
          <w:ilvl w:val="0"/>
          <w:numId w:val="1"/>
        </w:numPr>
      </w:pPr>
      <w:r>
        <w:t>Lagre brugerindstillinger for hvordan data fra en given sensor omdannes til et MidiSignal</w:t>
      </w:r>
    </w:p>
    <w:p w:rsidR="00375AB9" w:rsidRDefault="004F4596" w:rsidP="00375AB9">
      <w:pPr>
        <w:pStyle w:val="Listeafsnit"/>
        <w:numPr>
          <w:ilvl w:val="0"/>
          <w:numId w:val="1"/>
        </w:numPr>
      </w:pPr>
      <w:r>
        <w:t>At syntetisere et MidiSignal ud fra en given sensor måling.</w:t>
      </w:r>
    </w:p>
    <w:p w:rsidR="00CB0408" w:rsidRDefault="00CB0408" w:rsidP="00CB0408">
      <w:pPr>
        <w:pStyle w:val="Overskrift5"/>
      </w:pPr>
      <w:r>
        <w:t>Klassediagram</w:t>
      </w:r>
    </w:p>
    <w:p w:rsidR="00CB0408" w:rsidRDefault="008D2CC5" w:rsidP="008D2CC5">
      <w:r>
        <w:t>Herunder ses et klassediagram for MappingScheme og dets lagringsstructs</w:t>
      </w:r>
      <w:r w:rsidR="000E49B5">
        <w:rPr>
          <w:rStyle w:val="Fodnotehenvisning"/>
        </w:rPr>
        <w:footnoteReference w:id="1"/>
      </w:r>
      <w:r>
        <w:t xml:space="preserve"> samt for MidiSignal, som MappingScheme også benytter i sin map() –funktion. </w:t>
      </w:r>
      <w:r w:rsidR="007E3A37">
        <w:t>Bemærk at der for klassediagrammet herunder er udeladt set- og get-metoder.</w:t>
      </w:r>
    </w:p>
    <w:p w:rsidR="00F8702F" w:rsidRDefault="00F8702F" w:rsidP="008D2CC5"/>
    <w:p w:rsidR="004F4596" w:rsidRDefault="006F416D" w:rsidP="008D2CC5">
      <w:pPr>
        <w:jc w:val="center"/>
      </w:pPr>
      <w:r>
        <w:object w:dxaOrig="9181" w:dyaOrig="77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387.5pt" o:ole="">
            <v:imagedata r:id="rId8" o:title=""/>
          </v:shape>
          <o:OLEObject Type="Embed" ProgID="Visio.Drawing.15" ShapeID="_x0000_i1025" DrawAspect="Content" ObjectID="_1479650181" r:id="rId9"/>
        </w:object>
      </w:r>
    </w:p>
    <w:p w:rsidR="00CB0408" w:rsidRDefault="00CB0408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CB0408" w:rsidRDefault="00CB0408" w:rsidP="00CB0408">
      <w:pPr>
        <w:pStyle w:val="Overskrift5"/>
      </w:pPr>
      <w:r>
        <w:lastRenderedPageBreak/>
        <w:t>Funktionsbeskrivelser</w:t>
      </w:r>
    </w:p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CB0408" w:rsidRP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</w:p>
        </w:tc>
        <w:tc>
          <w:tcPr>
            <w:tcW w:w="8301" w:type="dxa"/>
          </w:tcPr>
          <w:p w:rsidR="00CB0408" w:rsidRPr="00CB0408" w:rsidRDefault="00CB0408" w:rsidP="001B0918">
            <w:pPr>
              <w:spacing w:after="160"/>
              <w:rPr>
                <w:lang w:val="en-US"/>
              </w:rPr>
            </w:pPr>
            <w:r w:rsidRPr="00CB0408">
              <w:rPr>
                <w:lang w:val="en-US"/>
              </w:rPr>
              <w:t>map(int data, MidiS</w:t>
            </w:r>
            <w:r>
              <w:rPr>
                <w:lang w:val="en-US"/>
              </w:rPr>
              <w:t>ignal &amp; signal): void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CB0408" w:rsidRDefault="00CB0408" w:rsidP="00CB0408">
            <w:pPr>
              <w:spacing w:after="160"/>
            </w:pPr>
            <w:r>
              <w:t>int data: sensordata i range 0-127</w:t>
            </w:r>
            <w:r>
              <w:br/>
              <w:t xml:space="preserve">MidSignal &amp; signal: en reference til et givent MidiSignal, der skal ændres 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CB0408" w:rsidRDefault="00CB0408" w:rsidP="001B0918">
            <w:pPr>
              <w:spacing w:after="160"/>
            </w:pPr>
            <w:r>
              <w:t>Ingen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CB0408" w:rsidRDefault="00CB0408" w:rsidP="00CB0408">
            <w:r>
              <w:t>Funktionen tilretter MidiSignalet, der refereres til fra parametren signal på baggrund af parametren ”data” samt de lagrede brugerindstillinger.</w:t>
            </w:r>
          </w:p>
        </w:tc>
      </w:tr>
    </w:tbl>
    <w:p w:rsidR="007E3A37" w:rsidRDefault="007E3A37" w:rsidP="007E3A37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CB0408" w:rsidRPr="006F416D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  <w:r w:rsidR="006F416D">
              <w:rPr>
                <w:b/>
              </w:rPr>
              <w:t>er</w:t>
            </w:r>
          </w:p>
        </w:tc>
        <w:tc>
          <w:tcPr>
            <w:tcW w:w="8301" w:type="dxa"/>
          </w:tcPr>
          <w:p w:rsidR="00CB0408" w:rsidRPr="006F416D" w:rsidRDefault="00CB0408" w:rsidP="006F416D">
            <w:pPr>
              <w:spacing w:after="160"/>
              <w:rPr>
                <w:lang w:val="en-US"/>
              </w:rPr>
            </w:pPr>
            <w:r w:rsidRPr="006F416D">
              <w:rPr>
                <w:lang w:val="en-US"/>
              </w:rPr>
              <w:t>map</w:t>
            </w:r>
            <w:r w:rsidRPr="006F416D">
              <w:rPr>
                <w:lang w:val="en-US"/>
              </w:rPr>
              <w:t>Key</w:t>
            </w:r>
            <w:r w:rsidRPr="006F416D">
              <w:rPr>
                <w:lang w:val="en-US"/>
              </w:rPr>
              <w:t>(int data, MidiS</w:t>
            </w:r>
            <w:r w:rsidRPr="006F416D">
              <w:rPr>
                <w:lang w:val="en-US"/>
              </w:rPr>
              <w:t xml:space="preserve">ignal &amp; signal): </w:t>
            </w:r>
            <w:r w:rsidR="006F416D" w:rsidRPr="006F416D">
              <w:rPr>
                <w:lang w:val="en-US"/>
              </w:rPr>
              <w:t>v</w:t>
            </w:r>
            <w:r w:rsidR="006F416D">
              <w:rPr>
                <w:lang w:val="en-US"/>
              </w:rPr>
              <w:t>oid</w:t>
            </w:r>
            <w:r w:rsidRPr="006F416D">
              <w:rPr>
                <w:lang w:val="en-US"/>
              </w:rPr>
              <w:br/>
            </w:r>
            <w:r w:rsidRPr="006F416D">
              <w:rPr>
                <w:lang w:val="en-US"/>
              </w:rPr>
              <w:t>map</w:t>
            </w:r>
            <w:r w:rsidRPr="006F416D">
              <w:rPr>
                <w:lang w:val="en-US"/>
              </w:rPr>
              <w:t>Velocity</w:t>
            </w:r>
            <w:r w:rsidRPr="006F416D">
              <w:rPr>
                <w:lang w:val="en-US"/>
              </w:rPr>
              <w:t xml:space="preserve">(int data, MidiSignal &amp; signal): </w:t>
            </w:r>
            <w:r w:rsidR="006F416D">
              <w:rPr>
                <w:lang w:val="en-US"/>
              </w:rPr>
              <w:t>void</w:t>
            </w:r>
            <w:r w:rsidRPr="006F416D">
              <w:rPr>
                <w:lang w:val="en-US"/>
              </w:rPr>
              <w:br/>
            </w:r>
            <w:r w:rsidRPr="006F416D">
              <w:rPr>
                <w:lang w:val="en-US"/>
              </w:rPr>
              <w:t>map</w:t>
            </w:r>
            <w:r w:rsidRPr="006F416D">
              <w:rPr>
                <w:lang w:val="en-US"/>
              </w:rPr>
              <w:t>CCAbs</w:t>
            </w:r>
            <w:r w:rsidRPr="006F416D">
              <w:rPr>
                <w:lang w:val="en-US"/>
              </w:rPr>
              <w:t xml:space="preserve">(int data, MidiSignal &amp; signal): </w:t>
            </w:r>
            <w:r w:rsidR="006F416D">
              <w:rPr>
                <w:lang w:val="en-US"/>
              </w:rPr>
              <w:t>void</w:t>
            </w:r>
            <w:r w:rsidRPr="006F416D">
              <w:rPr>
                <w:lang w:val="en-US"/>
              </w:rPr>
              <w:br/>
            </w:r>
            <w:r w:rsidRPr="006F416D">
              <w:rPr>
                <w:lang w:val="en-US"/>
              </w:rPr>
              <w:t>map</w:t>
            </w:r>
            <w:r w:rsidRPr="006F416D">
              <w:rPr>
                <w:lang w:val="en-US"/>
              </w:rPr>
              <w:t>CCRel</w:t>
            </w:r>
            <w:r w:rsidRPr="006F416D">
              <w:rPr>
                <w:lang w:val="en-US"/>
              </w:rPr>
              <w:t xml:space="preserve">(int data, MidiSignal &amp; signal): </w:t>
            </w:r>
            <w:r w:rsidR="006F416D">
              <w:rPr>
                <w:lang w:val="en-US"/>
              </w:rPr>
              <w:t>void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CB0408" w:rsidRDefault="00CB0408" w:rsidP="001B0918">
            <w:pPr>
              <w:spacing w:after="160"/>
            </w:pPr>
            <w:r>
              <w:t>int data: sensordata i range 0-127</w:t>
            </w:r>
            <w:r>
              <w:br/>
              <w:t xml:space="preserve">MidSignal &amp; signal: en reference til et givent MidiSignal, der skal ændres 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CB0408" w:rsidRDefault="006F416D" w:rsidP="006F416D">
            <w:pPr>
              <w:spacing w:after="160"/>
            </w:pPr>
            <w:r>
              <w:t xml:space="preserve">Ingen 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CB0408" w:rsidRDefault="00CB0408" w:rsidP="006F416D">
            <w:r>
              <w:t>Funktionen tilretter MidiSignalet, der refereres til fra parametren signal på baggrund af parametren ”data” samt de lagrede brugerindstillinger.</w:t>
            </w:r>
            <w:r w:rsidR="006F416D">
              <w:t xml:space="preserve"> Disse funktioner kaldes fra funktionen map() afhængig af hvilken param_, der er indstillet i MappingSchemet. </w:t>
            </w:r>
          </w:p>
        </w:tc>
      </w:tr>
    </w:tbl>
    <w:p w:rsidR="00CB0408" w:rsidRDefault="00CB0408" w:rsidP="007E3A37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6F416D" w:rsidRP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</w:p>
        </w:tc>
        <w:tc>
          <w:tcPr>
            <w:tcW w:w="8301" w:type="dxa"/>
          </w:tcPr>
          <w:p w:rsidR="006F416D" w:rsidRPr="006F416D" w:rsidRDefault="006F416D" w:rsidP="006F416D">
            <w:pPr>
              <w:spacing w:after="16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quantizeDiatonic(int &amp;): void</w:t>
            </w:r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6F416D" w:rsidRDefault="006F416D" w:rsidP="001B0918">
            <w:pPr>
              <w:spacing w:after="160"/>
            </w:pPr>
            <w:r>
              <w:t>int &amp; dataIn</w:t>
            </w:r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6F416D" w:rsidRDefault="006F416D" w:rsidP="001B0918">
            <w:pPr>
              <w:spacing w:after="160"/>
            </w:pPr>
            <w:r>
              <w:t xml:space="preserve">Ingen </w:t>
            </w:r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6F416D" w:rsidRDefault="006F416D" w:rsidP="006F416D">
            <w:r>
              <w:t>Hjælpe funktion, der kvantiserer parametren dataIn, så den til slut genererede tone passer i den af brugeren valgte key_.scale_.</w:t>
            </w:r>
          </w:p>
        </w:tc>
      </w:tr>
    </w:tbl>
    <w:p w:rsidR="006F416D" w:rsidRDefault="006F416D" w:rsidP="007E3A37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6F416D" w:rsidRP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</w:p>
        </w:tc>
        <w:tc>
          <w:tcPr>
            <w:tcW w:w="8301" w:type="dxa"/>
          </w:tcPr>
          <w:p w:rsidR="006F416D" w:rsidRPr="006F416D" w:rsidRDefault="006F416D" w:rsidP="001B0918">
            <w:pPr>
              <w:spacing w:after="16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noteStringToInt(string): int</w:t>
            </w:r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6F416D" w:rsidRDefault="006F416D" w:rsidP="001B0918">
            <w:pPr>
              <w:spacing w:after="160"/>
            </w:pPr>
            <w:r>
              <w:t>string note</w:t>
            </w:r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6F416D" w:rsidRDefault="006F416D" w:rsidP="006F416D">
            <w:pPr>
              <w:spacing w:after="160"/>
            </w:pPr>
            <w:r>
              <w:t>int</w:t>
            </w:r>
            <w:r>
              <w:t xml:space="preserve"> </w:t>
            </w:r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6F416D" w:rsidRDefault="006F416D" w:rsidP="005966EC">
            <w:r>
              <w:t>Hjælpefunktion, der konverterer den af brugeren valgte grundtone key_.root_ til en tilsvarende int</w:t>
            </w:r>
            <w:r w:rsidR="005966EC">
              <w:t>.</w:t>
            </w:r>
          </w:p>
        </w:tc>
      </w:tr>
    </w:tbl>
    <w:p w:rsidR="006F416D" w:rsidRDefault="006F416D" w:rsidP="007E3A37"/>
    <w:p w:rsidR="005966EC" w:rsidRDefault="005966EC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375AB9" w:rsidRDefault="004F4596" w:rsidP="004F4596">
      <w:pPr>
        <w:pStyle w:val="Overskrift4"/>
      </w:pPr>
      <w:r>
        <w:lastRenderedPageBreak/>
        <w:t>Implementering</w:t>
      </w:r>
    </w:p>
    <w:p w:rsidR="0031095C" w:rsidRPr="0031095C" w:rsidRDefault="0031095C" w:rsidP="0031095C">
      <w:r>
        <w:t>Se bilag MappingScheme.h og MappingScheme.c for den endelige MappingScheme implementering.</w:t>
      </w:r>
    </w:p>
    <w:p w:rsidR="00B416DE" w:rsidRDefault="00B416DE" w:rsidP="00B416DE">
      <w:pPr>
        <w:pStyle w:val="Overskrift5"/>
      </w:pPr>
      <w:r>
        <w:t>map</w:t>
      </w:r>
    </w:p>
    <w:p w:rsidR="00B416DE" w:rsidRDefault="00997E00" w:rsidP="00B416DE">
      <w:r>
        <w:t>m</w:t>
      </w:r>
      <w:r w:rsidR="00B416DE">
        <w:t xml:space="preserve">ap() </w:t>
      </w:r>
      <w:r>
        <w:t xml:space="preserve">har til ansvar at </w:t>
      </w:r>
      <w:r w:rsidR="00B416DE">
        <w:t xml:space="preserve">kalde </w:t>
      </w:r>
      <w:r>
        <w:t>den en underfunktion jf. den</w:t>
      </w:r>
      <w:r w:rsidR="00B416DE">
        <w:t xml:space="preserve"> param_</w:t>
      </w:r>
      <w:r>
        <w:t>,</w:t>
      </w:r>
      <w:r w:rsidR="00B416DE">
        <w:t xml:space="preserve"> brugeren har indstillet.</w:t>
      </w:r>
    </w:p>
    <w:p w:rsidR="00F874CF" w:rsidRDefault="00B416DE" w:rsidP="00B416DE">
      <w:pPr>
        <w:pStyle w:val="Overskrift5"/>
      </w:pPr>
      <w:r>
        <w:t>mapKey</w:t>
      </w:r>
    </w:p>
    <w:p w:rsidR="00F874CF" w:rsidRDefault="00F874CF" w:rsidP="00F874CF">
      <w:r>
        <w:t>Programflowet i mapKey er som følger:</w:t>
      </w:r>
    </w:p>
    <w:p w:rsidR="00B416DE" w:rsidRDefault="00F874CF" w:rsidP="00F874CF">
      <w:pPr>
        <w:pStyle w:val="Listeafsnit"/>
        <w:numPr>
          <w:ilvl w:val="0"/>
          <w:numId w:val="2"/>
        </w:numPr>
      </w:pPr>
      <w:r>
        <w:t>Tilret data: Systemet kan generere toner fra oktaverne -2 til 9 = 12 oktaver. I hver oktav er der 12 toner. Dette giver mulighed for at generer i alt 120 forskellige toner. Derfor benyttes kun sensorData i intervallet 3-122.</w:t>
      </w:r>
    </w:p>
    <w:p w:rsidR="00F874CF" w:rsidRDefault="00F874CF" w:rsidP="00F874CF">
      <w:pPr>
        <w:pStyle w:val="Listeafsnit"/>
        <w:numPr>
          <w:ilvl w:val="0"/>
          <w:numId w:val="2"/>
        </w:numPr>
      </w:pPr>
      <w:r>
        <w:t>”Vend” toner hvis bruger har valgt direction_ ”falling”</w:t>
      </w:r>
      <w:r w:rsidR="00E13515">
        <w:t>.</w:t>
      </w:r>
    </w:p>
    <w:p w:rsidR="00F874CF" w:rsidRDefault="00F874CF" w:rsidP="00F874CF">
      <w:pPr>
        <w:pStyle w:val="Listeafsnit"/>
        <w:numPr>
          <w:ilvl w:val="0"/>
          <w:numId w:val="2"/>
        </w:numPr>
      </w:pPr>
      <w:r>
        <w:t xml:space="preserve">Forskyd data jf. valgt grundtone. Dette er en forberedelse til funktionen quantizeDiatonic, der sørger for at den </w:t>
      </w:r>
      <w:r w:rsidR="00997E00">
        <w:t>valgte skala kvantiseres som ønsket.</w:t>
      </w:r>
    </w:p>
    <w:p w:rsidR="00997E00" w:rsidRDefault="00997E00" w:rsidP="00F874CF">
      <w:pPr>
        <w:pStyle w:val="Listeafsnit"/>
        <w:numPr>
          <w:ilvl w:val="0"/>
          <w:numId w:val="2"/>
        </w:numPr>
      </w:pPr>
      <w:r>
        <w:t>Kald quantizeDiatonic</w:t>
      </w:r>
      <w:r w:rsidR="00E13515">
        <w:t>.</w:t>
      </w:r>
    </w:p>
    <w:p w:rsidR="00997E00" w:rsidRDefault="00997E00" w:rsidP="00F874CF">
      <w:pPr>
        <w:pStyle w:val="Listeafsnit"/>
        <w:numPr>
          <w:ilvl w:val="0"/>
          <w:numId w:val="2"/>
        </w:numPr>
      </w:pPr>
      <w:r>
        <w:t>Forskyd data tilbage</w:t>
      </w:r>
      <w:r w:rsidR="00E13515">
        <w:t>.</w:t>
      </w:r>
    </w:p>
    <w:p w:rsidR="00F874CF" w:rsidRPr="0031095C" w:rsidRDefault="00997E00" w:rsidP="0031095C">
      <w:pPr>
        <w:pStyle w:val="Listeafsnit"/>
        <w:numPr>
          <w:ilvl w:val="0"/>
          <w:numId w:val="2"/>
        </w:numPr>
      </w:pPr>
      <w:r w:rsidRPr="00997E00">
        <w:rPr>
          <w:lang w:val="en-US"/>
        </w:rPr>
        <w:t>Modificerer signal referencen</w:t>
      </w:r>
      <w:r>
        <w:rPr>
          <w:lang w:val="en-US"/>
        </w:rPr>
        <w:t xml:space="preserve">. </w:t>
      </w:r>
      <w:r w:rsidRPr="00997E00">
        <w:t xml:space="preserve">Der først tjekkes </w:t>
      </w:r>
      <w:r>
        <w:t>om tonen er ny inden den sættes. Er den ny, slukkes først den gamle. Dermed kræves to gennemløb med samme modtagne data før tonen ændres.</w:t>
      </w:r>
    </w:p>
    <w:p w:rsidR="000905D7" w:rsidRPr="000905D7" w:rsidRDefault="000905D7" w:rsidP="00B416DE">
      <w:pPr>
        <w:pStyle w:val="Overskrift5"/>
      </w:pPr>
      <w:r w:rsidRPr="000905D7">
        <w:t>quantizeDiatonic</w:t>
      </w:r>
    </w:p>
    <w:p w:rsidR="000905D7" w:rsidRDefault="006B4E22" w:rsidP="000905D7">
      <w:r>
        <w:t>D</w:t>
      </w:r>
      <w:r w:rsidR="000905D7" w:rsidRPr="000905D7">
        <w:t xml:space="preserve">ur- </w:t>
      </w:r>
      <w:r w:rsidR="000905D7">
        <w:t xml:space="preserve">eller </w:t>
      </w:r>
      <w:r w:rsidR="000905D7" w:rsidRPr="000905D7">
        <w:t>mol-skala</w:t>
      </w:r>
      <w:r>
        <w:t>er hører begge under kategoriseringen diatonisk.</w:t>
      </w:r>
    </w:p>
    <w:p w:rsidR="000905D7" w:rsidRDefault="000905D7" w:rsidP="000905D7">
      <w:r>
        <w:t>Dur k</w:t>
      </w:r>
      <w:r w:rsidR="0031095C">
        <w:t>vantiseringen</w:t>
      </w:r>
      <w:r w:rsidR="006B4E22">
        <w:t xml:space="preserve"> foregår som på </w:t>
      </w:r>
      <w:r w:rsidR="0031095C">
        <w:t xml:space="preserve">illustrationen af en oktav herunder: </w:t>
      </w:r>
    </w:p>
    <w:p w:rsidR="000905D7" w:rsidRDefault="000905D7" w:rsidP="000905D7">
      <w:pPr>
        <w:jc w:val="center"/>
      </w:pPr>
      <w:r>
        <w:rPr>
          <w:noProof/>
          <w:lang w:eastAsia="da-DK"/>
        </w:rPr>
        <w:drawing>
          <wp:inline distT="0" distB="0" distL="0" distR="0">
            <wp:extent cx="3721100" cy="281740"/>
            <wp:effectExtent l="0" t="0" r="0" b="444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478" cy="31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D7" w:rsidRDefault="0031095C" w:rsidP="0031095C">
      <w:r>
        <w:t>Påskrevet er durskalaens trin for en c-dur skala samt hvilken vej det ønskes at tonerne uden for skala skal kvantiseres til.</w:t>
      </w:r>
    </w:p>
    <w:p w:rsidR="0031095C" w:rsidRDefault="0031095C" w:rsidP="0031095C">
      <w:r>
        <w:t>Mol</w:t>
      </w:r>
      <w:r>
        <w:t xml:space="preserve"> kvantiseringen er </w:t>
      </w:r>
      <w:r>
        <w:t xml:space="preserve">illustreret </w:t>
      </w:r>
      <w:r>
        <w:t xml:space="preserve">herunder: </w:t>
      </w:r>
    </w:p>
    <w:p w:rsidR="0031095C" w:rsidRDefault="0031095C" w:rsidP="0031095C">
      <w:pPr>
        <w:jc w:val="center"/>
      </w:pPr>
      <w:r>
        <w:rPr>
          <w:noProof/>
          <w:lang w:eastAsia="da-DK"/>
        </w:rPr>
        <w:drawing>
          <wp:inline distT="0" distB="0" distL="0" distR="0">
            <wp:extent cx="3712321" cy="292100"/>
            <wp:effectExtent l="0" t="0" r="254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251" cy="3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5C" w:rsidRPr="000905D7" w:rsidRDefault="0031095C" w:rsidP="0031095C">
      <w:r>
        <w:t>Funktionen er opbygget af først en registrering af hvilken tone i oktaven, data er, og dernæst en kvantisering vha. switch case sætninger.</w:t>
      </w:r>
    </w:p>
    <w:p w:rsidR="00B416DE" w:rsidRPr="0031095C" w:rsidRDefault="00B416DE" w:rsidP="00B416DE">
      <w:pPr>
        <w:pStyle w:val="Overskrift5"/>
      </w:pPr>
      <w:r w:rsidRPr="0031095C">
        <w:t>mapVelocity</w:t>
      </w:r>
    </w:p>
    <w:p w:rsidR="0009786E" w:rsidRDefault="0009786E" w:rsidP="0009786E">
      <w:r>
        <w:t>Programflowet i map</w:t>
      </w:r>
      <w:r>
        <w:t xml:space="preserve">Velocity </w:t>
      </w:r>
      <w:r>
        <w:t>er som følger:</w:t>
      </w:r>
    </w:p>
    <w:p w:rsidR="0009786E" w:rsidRDefault="0009786E" w:rsidP="0009786E">
      <w:pPr>
        <w:pStyle w:val="Listeafsnit"/>
        <w:numPr>
          <w:ilvl w:val="0"/>
          <w:numId w:val="3"/>
        </w:numPr>
      </w:pPr>
      <w:r>
        <w:t>Tjek om data er valid (0-127)</w:t>
      </w:r>
      <w:r w:rsidR="00E13515">
        <w:t>.</w:t>
      </w:r>
    </w:p>
    <w:p w:rsidR="0009786E" w:rsidRDefault="0009786E" w:rsidP="0009786E">
      <w:pPr>
        <w:pStyle w:val="Listeafsnit"/>
        <w:numPr>
          <w:ilvl w:val="0"/>
          <w:numId w:val="3"/>
        </w:numPr>
      </w:pPr>
      <w:r>
        <w:t xml:space="preserve">Hvis </w:t>
      </w:r>
      <w:r w:rsidR="00E13515">
        <w:t>signal</w:t>
      </w:r>
      <w:r>
        <w:t xml:space="preserve"> før var NOTEOFF og data overstiger den af brugeren satte lowerThreshold, sættes den </w:t>
      </w:r>
      <w:r w:rsidR="00E13515">
        <w:t>kommandoen</w:t>
      </w:r>
      <w:r>
        <w:t xml:space="preserve"> til NOTEON.</w:t>
      </w:r>
    </w:p>
    <w:p w:rsidR="0009786E" w:rsidRDefault="00E13515" w:rsidP="0009786E">
      <w:pPr>
        <w:pStyle w:val="Listeafsnit"/>
        <w:numPr>
          <w:ilvl w:val="0"/>
          <w:numId w:val="3"/>
        </w:numPr>
      </w:pPr>
      <w:r>
        <w:t xml:space="preserve">Hvis signal før var NOTEON og </w:t>
      </w:r>
      <w:r>
        <w:t>data overstiger lowerThreshold</w:t>
      </w:r>
      <w:r>
        <w:t>, sættes kommandoen til AFTERTOUCH.</w:t>
      </w:r>
    </w:p>
    <w:p w:rsidR="00E13515" w:rsidRDefault="00E13515" w:rsidP="0009786E">
      <w:pPr>
        <w:pStyle w:val="Listeafsnit"/>
        <w:numPr>
          <w:ilvl w:val="0"/>
          <w:numId w:val="3"/>
        </w:numPr>
      </w:pPr>
      <w:r>
        <w:t>Hvis signal før var NOTEON og data er lavere end lowerThreshold, sættes kommandoen til NOTEOFF.</w:t>
      </w:r>
      <w:bookmarkStart w:id="0" w:name="_GoBack"/>
      <w:bookmarkEnd w:id="0"/>
    </w:p>
    <w:p w:rsidR="00B416DE" w:rsidRPr="00997E00" w:rsidRDefault="00B416DE" w:rsidP="00B416DE">
      <w:pPr>
        <w:pStyle w:val="Overskrift5"/>
        <w:rPr>
          <w:lang w:val="en-US"/>
        </w:rPr>
      </w:pPr>
      <w:r w:rsidRPr="00997E00">
        <w:rPr>
          <w:lang w:val="en-US"/>
        </w:rPr>
        <w:lastRenderedPageBreak/>
        <w:t>mapCCAbs</w:t>
      </w:r>
    </w:p>
    <w:p w:rsidR="00B416DE" w:rsidRPr="00997E00" w:rsidRDefault="00B416DE" w:rsidP="00B416DE">
      <w:pPr>
        <w:rPr>
          <w:lang w:val="en-US"/>
        </w:rPr>
      </w:pPr>
    </w:p>
    <w:p w:rsidR="00B416DE" w:rsidRPr="00997E00" w:rsidRDefault="00B416DE" w:rsidP="00B416DE">
      <w:pPr>
        <w:pStyle w:val="Overskrift5"/>
        <w:rPr>
          <w:lang w:val="en-US"/>
        </w:rPr>
      </w:pPr>
      <w:r w:rsidRPr="00997E00">
        <w:rPr>
          <w:lang w:val="en-US"/>
        </w:rPr>
        <w:t>mapCCRel</w:t>
      </w:r>
    </w:p>
    <w:p w:rsidR="00B416DE" w:rsidRPr="00997E00" w:rsidRDefault="00B416DE" w:rsidP="00B416DE">
      <w:pPr>
        <w:rPr>
          <w:lang w:val="en-US"/>
        </w:rPr>
      </w:pPr>
    </w:p>
    <w:p w:rsidR="00B416DE" w:rsidRPr="00997E00" w:rsidRDefault="00B416DE" w:rsidP="00B416DE">
      <w:pPr>
        <w:rPr>
          <w:lang w:val="en-US"/>
        </w:rPr>
      </w:pPr>
    </w:p>
    <w:p w:rsidR="00B416DE" w:rsidRPr="00997E00" w:rsidRDefault="00B416DE" w:rsidP="004F4596">
      <w:pPr>
        <w:pStyle w:val="Overskrift4"/>
        <w:rPr>
          <w:lang w:val="en-US"/>
        </w:rPr>
      </w:pPr>
    </w:p>
    <w:p w:rsidR="004F4596" w:rsidRPr="00997E00" w:rsidRDefault="004F4596" w:rsidP="004F4596">
      <w:pPr>
        <w:pStyle w:val="Overskrift4"/>
        <w:rPr>
          <w:lang w:val="en-US"/>
        </w:rPr>
      </w:pPr>
      <w:r w:rsidRPr="00997E00">
        <w:rPr>
          <w:lang w:val="en-US"/>
        </w:rPr>
        <w:t>Test</w:t>
      </w:r>
    </w:p>
    <w:p w:rsidR="004F4596" w:rsidRPr="00997E00" w:rsidRDefault="004F4596" w:rsidP="004F4596">
      <w:pPr>
        <w:rPr>
          <w:lang w:val="en-US"/>
        </w:rPr>
      </w:pPr>
    </w:p>
    <w:sectPr w:rsidR="004F4596" w:rsidRPr="00997E0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5C6" w:rsidRDefault="006605C6" w:rsidP="000E49B5">
      <w:pPr>
        <w:spacing w:after="0" w:line="240" w:lineRule="auto"/>
      </w:pPr>
      <w:r>
        <w:separator/>
      </w:r>
    </w:p>
  </w:endnote>
  <w:endnote w:type="continuationSeparator" w:id="0">
    <w:p w:rsidR="006605C6" w:rsidRDefault="006605C6" w:rsidP="000E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5C6" w:rsidRDefault="006605C6" w:rsidP="000E49B5">
      <w:pPr>
        <w:spacing w:after="0" w:line="240" w:lineRule="auto"/>
      </w:pPr>
      <w:r>
        <w:separator/>
      </w:r>
    </w:p>
  </w:footnote>
  <w:footnote w:type="continuationSeparator" w:id="0">
    <w:p w:rsidR="006605C6" w:rsidRDefault="006605C6" w:rsidP="000E49B5">
      <w:pPr>
        <w:spacing w:after="0" w:line="240" w:lineRule="auto"/>
      </w:pPr>
      <w:r>
        <w:continuationSeparator/>
      </w:r>
    </w:p>
  </w:footnote>
  <w:footnote w:id="1">
    <w:p w:rsidR="000E49B5" w:rsidRDefault="000E49B5">
      <w:pPr>
        <w:pStyle w:val="Fodnotetekst"/>
      </w:pPr>
      <w:r>
        <w:rPr>
          <w:rStyle w:val="Fodnotehenvisning"/>
        </w:rPr>
        <w:footnoteRef/>
      </w:r>
      <w:r>
        <w:t xml:space="preserve"> Som specificeret i afsnittet ”Krav til Mapping Scheme”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C5702"/>
    <w:multiLevelType w:val="hybridMultilevel"/>
    <w:tmpl w:val="42C013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E5B11"/>
    <w:multiLevelType w:val="hybridMultilevel"/>
    <w:tmpl w:val="B39855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5165E"/>
    <w:multiLevelType w:val="hybridMultilevel"/>
    <w:tmpl w:val="84F2DEF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48"/>
    <w:rsid w:val="00000EEB"/>
    <w:rsid w:val="0000101B"/>
    <w:rsid w:val="000103BD"/>
    <w:rsid w:val="000335D6"/>
    <w:rsid w:val="0003392F"/>
    <w:rsid w:val="00042FCC"/>
    <w:rsid w:val="0007007D"/>
    <w:rsid w:val="00070740"/>
    <w:rsid w:val="000905D7"/>
    <w:rsid w:val="000935EB"/>
    <w:rsid w:val="0009365C"/>
    <w:rsid w:val="0009553E"/>
    <w:rsid w:val="0009786E"/>
    <w:rsid w:val="00097B27"/>
    <w:rsid w:val="000A4048"/>
    <w:rsid w:val="000A6693"/>
    <w:rsid w:val="000C382D"/>
    <w:rsid w:val="000D1457"/>
    <w:rsid w:val="000E49B5"/>
    <w:rsid w:val="000F4F5A"/>
    <w:rsid w:val="00155E93"/>
    <w:rsid w:val="001601E1"/>
    <w:rsid w:val="00166631"/>
    <w:rsid w:val="00166850"/>
    <w:rsid w:val="001B19E7"/>
    <w:rsid w:val="001C53C6"/>
    <w:rsid w:val="001E11D0"/>
    <w:rsid w:val="001E206B"/>
    <w:rsid w:val="002208F0"/>
    <w:rsid w:val="00234E2C"/>
    <w:rsid w:val="002509AD"/>
    <w:rsid w:val="00256427"/>
    <w:rsid w:val="00262FE9"/>
    <w:rsid w:val="00267FEE"/>
    <w:rsid w:val="002C4C6F"/>
    <w:rsid w:val="002E11E9"/>
    <w:rsid w:val="0031095C"/>
    <w:rsid w:val="00313C2C"/>
    <w:rsid w:val="003154AF"/>
    <w:rsid w:val="003225E8"/>
    <w:rsid w:val="00332638"/>
    <w:rsid w:val="00362414"/>
    <w:rsid w:val="00374E71"/>
    <w:rsid w:val="00375AB9"/>
    <w:rsid w:val="003D026D"/>
    <w:rsid w:val="003D28E6"/>
    <w:rsid w:val="003D53B9"/>
    <w:rsid w:val="003E0162"/>
    <w:rsid w:val="00410004"/>
    <w:rsid w:val="00417FFA"/>
    <w:rsid w:val="0042463D"/>
    <w:rsid w:val="00425397"/>
    <w:rsid w:val="00425C04"/>
    <w:rsid w:val="00455F13"/>
    <w:rsid w:val="0047467D"/>
    <w:rsid w:val="004765A4"/>
    <w:rsid w:val="004A7D77"/>
    <w:rsid w:val="004B1771"/>
    <w:rsid w:val="004B2061"/>
    <w:rsid w:val="004B38A6"/>
    <w:rsid w:val="004C204C"/>
    <w:rsid w:val="004D4A8A"/>
    <w:rsid w:val="004E1427"/>
    <w:rsid w:val="004E54C6"/>
    <w:rsid w:val="004F4596"/>
    <w:rsid w:val="00531CF1"/>
    <w:rsid w:val="0054609B"/>
    <w:rsid w:val="005966EC"/>
    <w:rsid w:val="00597116"/>
    <w:rsid w:val="005B19D9"/>
    <w:rsid w:val="005C0781"/>
    <w:rsid w:val="005C5329"/>
    <w:rsid w:val="00605786"/>
    <w:rsid w:val="0065235D"/>
    <w:rsid w:val="006605C6"/>
    <w:rsid w:val="0066493A"/>
    <w:rsid w:val="00675B48"/>
    <w:rsid w:val="00681CF7"/>
    <w:rsid w:val="00697538"/>
    <w:rsid w:val="006B4E22"/>
    <w:rsid w:val="006D4FE7"/>
    <w:rsid w:val="006E646E"/>
    <w:rsid w:val="006F03CE"/>
    <w:rsid w:val="006F416D"/>
    <w:rsid w:val="007162F6"/>
    <w:rsid w:val="00725104"/>
    <w:rsid w:val="00741ECD"/>
    <w:rsid w:val="0075155F"/>
    <w:rsid w:val="00781CD2"/>
    <w:rsid w:val="00783960"/>
    <w:rsid w:val="00792C16"/>
    <w:rsid w:val="00795688"/>
    <w:rsid w:val="00797093"/>
    <w:rsid w:val="007D1AFC"/>
    <w:rsid w:val="007E3A37"/>
    <w:rsid w:val="007F676E"/>
    <w:rsid w:val="00804A9E"/>
    <w:rsid w:val="00805FD3"/>
    <w:rsid w:val="008126F8"/>
    <w:rsid w:val="008474B9"/>
    <w:rsid w:val="00855584"/>
    <w:rsid w:val="0089220B"/>
    <w:rsid w:val="008B1CD5"/>
    <w:rsid w:val="008B7286"/>
    <w:rsid w:val="008D2CC5"/>
    <w:rsid w:val="008E0FB2"/>
    <w:rsid w:val="00901BFA"/>
    <w:rsid w:val="00902E1D"/>
    <w:rsid w:val="00923331"/>
    <w:rsid w:val="00932797"/>
    <w:rsid w:val="00942BD0"/>
    <w:rsid w:val="0095248D"/>
    <w:rsid w:val="0096376A"/>
    <w:rsid w:val="009677B8"/>
    <w:rsid w:val="00972119"/>
    <w:rsid w:val="00997E00"/>
    <w:rsid w:val="009E6E82"/>
    <w:rsid w:val="00A01AC1"/>
    <w:rsid w:val="00A0445A"/>
    <w:rsid w:val="00A24927"/>
    <w:rsid w:val="00A4155B"/>
    <w:rsid w:val="00A46E46"/>
    <w:rsid w:val="00A4730B"/>
    <w:rsid w:val="00A5326A"/>
    <w:rsid w:val="00A872F0"/>
    <w:rsid w:val="00AB3A0A"/>
    <w:rsid w:val="00AE4E24"/>
    <w:rsid w:val="00B06046"/>
    <w:rsid w:val="00B416DE"/>
    <w:rsid w:val="00B51E80"/>
    <w:rsid w:val="00B65881"/>
    <w:rsid w:val="00B73C31"/>
    <w:rsid w:val="00B80DB8"/>
    <w:rsid w:val="00BA7A78"/>
    <w:rsid w:val="00BB3DB7"/>
    <w:rsid w:val="00BB5F6B"/>
    <w:rsid w:val="00BC030D"/>
    <w:rsid w:val="00BC4010"/>
    <w:rsid w:val="00BD2466"/>
    <w:rsid w:val="00BF32FC"/>
    <w:rsid w:val="00C10B8E"/>
    <w:rsid w:val="00C15125"/>
    <w:rsid w:val="00C24118"/>
    <w:rsid w:val="00C24FA6"/>
    <w:rsid w:val="00C3363E"/>
    <w:rsid w:val="00C348EE"/>
    <w:rsid w:val="00C50391"/>
    <w:rsid w:val="00C85265"/>
    <w:rsid w:val="00CB0408"/>
    <w:rsid w:val="00CB653C"/>
    <w:rsid w:val="00DB32FC"/>
    <w:rsid w:val="00DB3532"/>
    <w:rsid w:val="00DC7EDF"/>
    <w:rsid w:val="00DD7799"/>
    <w:rsid w:val="00DE6A0A"/>
    <w:rsid w:val="00DF09C7"/>
    <w:rsid w:val="00DF33D0"/>
    <w:rsid w:val="00E13515"/>
    <w:rsid w:val="00E277A6"/>
    <w:rsid w:val="00E374E7"/>
    <w:rsid w:val="00E45C07"/>
    <w:rsid w:val="00E60C08"/>
    <w:rsid w:val="00E822FE"/>
    <w:rsid w:val="00E8505F"/>
    <w:rsid w:val="00E91B42"/>
    <w:rsid w:val="00EA3185"/>
    <w:rsid w:val="00EC0561"/>
    <w:rsid w:val="00EF2BE5"/>
    <w:rsid w:val="00F06BF2"/>
    <w:rsid w:val="00F243D4"/>
    <w:rsid w:val="00F5251F"/>
    <w:rsid w:val="00F53A4F"/>
    <w:rsid w:val="00F644B2"/>
    <w:rsid w:val="00F82F64"/>
    <w:rsid w:val="00F8702F"/>
    <w:rsid w:val="00F874CF"/>
    <w:rsid w:val="00F95FA8"/>
    <w:rsid w:val="00FB2CEB"/>
    <w:rsid w:val="00FC3342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25D74-5ED7-491C-93A8-6BFDA621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5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5A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75A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CB04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75A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5A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375A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eafsnit">
    <w:name w:val="List Paragraph"/>
    <w:basedOn w:val="Normal"/>
    <w:uiPriority w:val="34"/>
    <w:qFormat/>
    <w:rsid w:val="004F4596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0E49B5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E49B5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E49B5"/>
    <w:rPr>
      <w:vertAlign w:val="superscript"/>
    </w:rPr>
  </w:style>
  <w:style w:type="table" w:styleId="Tabel-Gitter">
    <w:name w:val="Table Grid"/>
    <w:basedOn w:val="Tabel-Normal"/>
    <w:uiPriority w:val="39"/>
    <w:rsid w:val="00CB0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5Tegn">
    <w:name w:val="Overskrift 5 Tegn"/>
    <w:basedOn w:val="Standardskrifttypeiafsnit"/>
    <w:link w:val="Overskrift5"/>
    <w:uiPriority w:val="9"/>
    <w:rsid w:val="00CB040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66777-5F87-46FE-B481-226E4D295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522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10</cp:revision>
  <dcterms:created xsi:type="dcterms:W3CDTF">2014-12-09T14:03:00Z</dcterms:created>
  <dcterms:modified xsi:type="dcterms:W3CDTF">2014-12-09T16:09:00Z</dcterms:modified>
</cp:coreProperties>
</file>