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5D" w:rsidRDefault="00CB0079" w:rsidP="00CB0079">
      <w:pPr>
        <w:pStyle w:val="Overskrift3"/>
      </w:pPr>
      <w:r>
        <w:t xml:space="preserve">MidiModule </w:t>
      </w:r>
    </w:p>
    <w:p w:rsidR="00CB0079" w:rsidRDefault="00CB0079" w:rsidP="00CB0079">
      <w:pPr>
        <w:pStyle w:val="Overskrift4"/>
      </w:pPr>
      <w:r>
        <w:t>Design</w:t>
      </w:r>
    </w:p>
    <w:p w:rsidR="00CB0079" w:rsidRDefault="00CB0079" w:rsidP="00CB0079">
      <w:r>
        <w:t xml:space="preserve">MidiModule har til opgave at styre konverteringen af data, der modtages fra receiver, samt skift af preset. For et givent preset oprettes et antal SensorConfiguration objekter ved preset initiation, og nedlægges ved </w:t>
      </w:r>
      <w:r w:rsidR="003A431D">
        <w:t>preset afslutning. Ved modtagelse af data fra Receiver, gennemløbes SensorConfiguration objekternes map funktion, hvorved MidiModules MidiSignal vector opdateres med de relevante værdier.</w:t>
      </w:r>
      <w:r w:rsidR="0081053F">
        <w:t xml:space="preserve"> Denne MidiSignal vector afsendes dernæst til AlsaAdapater, der står for interfacing til systemets ALSA-funktioner.</w:t>
      </w:r>
    </w:p>
    <w:p w:rsidR="00CB0079" w:rsidRDefault="003B4B5D" w:rsidP="003B4B5D">
      <w:pPr>
        <w:pStyle w:val="Overskrift5"/>
      </w:pPr>
      <w:r>
        <w:t>Klassediagram</w:t>
      </w:r>
    </w:p>
    <w:p w:rsidR="00DB71F2" w:rsidRPr="00DB71F2" w:rsidRDefault="00DB71F2" w:rsidP="00DB71F2">
      <w:r>
        <w:t>Herunder ses et klassediagram for MidiModule og dets nærmeste klasser. Udeladt er klassen DataMsg</w:t>
      </w:r>
      <w:r>
        <w:rPr>
          <w:rStyle w:val="Fodnotehenvisning"/>
        </w:rPr>
        <w:footnoteReference w:id="1"/>
      </w:r>
      <w:r w:rsidR="00BE66C4">
        <w:t xml:space="preserve">, </w:t>
      </w:r>
      <w:r w:rsidR="00BE66C4">
        <w:t>lagringsstruct</w:t>
      </w:r>
      <w:r w:rsidR="00BE66C4">
        <w:t>s i MappingScheme</w:t>
      </w:r>
      <w:r w:rsidR="00BE66C4">
        <w:rPr>
          <w:rStyle w:val="Fodnotehenvisning"/>
        </w:rPr>
        <w:footnoteReference w:id="2"/>
      </w:r>
      <w:r w:rsidR="00BE66C4">
        <w:t>, samt AlsaAdapterens association til frameworket ALSA. Controller og Receiver har adgang til MidiModule gennem MsgQueue.</w:t>
      </w:r>
    </w:p>
    <w:p w:rsidR="003B4B5D" w:rsidRDefault="00861F8F" w:rsidP="003B4B5D">
      <w:r>
        <w:object w:dxaOrig="14833" w:dyaOrig="8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1pt" o:ole="">
            <v:imagedata r:id="rId7" o:title=""/>
          </v:shape>
          <o:OLEObject Type="Embed" ProgID="Visio.Drawing.15" ShapeID="_x0000_i1025" DrawAspect="Content" ObjectID="_1480160437" r:id="rId8"/>
        </w:object>
      </w:r>
    </w:p>
    <w:p w:rsidR="00861F8F" w:rsidRDefault="00861F8F">
      <w:pPr>
        <w:rPr>
          <w:rFonts w:asciiTheme="majorHAnsi" w:eastAsiaTheme="majorEastAsia" w:hAnsiTheme="majorHAnsi" w:cstheme="majorBidi"/>
          <w:color w:val="2E74B5" w:themeColor="accent1" w:themeShade="BF"/>
        </w:rPr>
      </w:pPr>
      <w:r>
        <w:br w:type="page"/>
      </w:r>
    </w:p>
    <w:p w:rsidR="003B4B5D" w:rsidRDefault="003B4B5D" w:rsidP="003B4B5D">
      <w:pPr>
        <w:pStyle w:val="Overskrift5"/>
      </w:pPr>
      <w:r>
        <w:lastRenderedPageBreak/>
        <w:t>Funktionsbeskrivelser</w:t>
      </w:r>
    </w:p>
    <w:tbl>
      <w:tblPr>
        <w:tblStyle w:val="Tabel-Gitter"/>
        <w:tblW w:w="9634" w:type="dxa"/>
        <w:tblLook w:val="04A0" w:firstRow="1" w:lastRow="0" w:firstColumn="1" w:lastColumn="0" w:noHBand="0" w:noVBand="1"/>
      </w:tblPr>
      <w:tblGrid>
        <w:gridCol w:w="1333"/>
        <w:gridCol w:w="8301"/>
      </w:tblGrid>
      <w:tr w:rsidR="00BE66C4" w:rsidRPr="00CB0408" w:rsidTr="003C6566">
        <w:tc>
          <w:tcPr>
            <w:tcW w:w="1333" w:type="dxa"/>
          </w:tcPr>
          <w:p w:rsidR="00BE66C4" w:rsidRPr="005216B5" w:rsidRDefault="00BE66C4" w:rsidP="003C6566">
            <w:pPr>
              <w:spacing w:after="160"/>
              <w:rPr>
                <w:b/>
              </w:rPr>
            </w:pPr>
            <w:r w:rsidRPr="005216B5">
              <w:rPr>
                <w:b/>
              </w:rPr>
              <w:t>Funktion</w:t>
            </w:r>
          </w:p>
        </w:tc>
        <w:tc>
          <w:tcPr>
            <w:tcW w:w="8301" w:type="dxa"/>
          </w:tcPr>
          <w:p w:rsidR="00BE66C4" w:rsidRPr="00CB0408" w:rsidRDefault="00BE66C4" w:rsidP="003C6566">
            <w:pPr>
              <w:spacing w:after="160"/>
              <w:rPr>
                <w:lang w:val="en-US"/>
              </w:rPr>
            </w:pPr>
            <w:r>
              <w:rPr>
                <w:lang w:val="en-US"/>
              </w:rPr>
              <w:t>start(): void</w:t>
            </w:r>
          </w:p>
        </w:tc>
      </w:tr>
      <w:tr w:rsidR="00BE66C4" w:rsidTr="003C6566">
        <w:tc>
          <w:tcPr>
            <w:tcW w:w="1333" w:type="dxa"/>
          </w:tcPr>
          <w:p w:rsidR="00BE66C4" w:rsidRPr="005216B5" w:rsidRDefault="00BE66C4" w:rsidP="003C6566">
            <w:pPr>
              <w:spacing w:after="160"/>
              <w:rPr>
                <w:b/>
              </w:rPr>
            </w:pPr>
            <w:r w:rsidRPr="005216B5">
              <w:rPr>
                <w:b/>
              </w:rPr>
              <w:t>Parametre</w:t>
            </w:r>
          </w:p>
        </w:tc>
        <w:tc>
          <w:tcPr>
            <w:tcW w:w="8301" w:type="dxa"/>
          </w:tcPr>
          <w:p w:rsidR="00BE66C4" w:rsidRDefault="00BE66C4"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Returværdi</w:t>
            </w:r>
          </w:p>
        </w:tc>
        <w:tc>
          <w:tcPr>
            <w:tcW w:w="8301" w:type="dxa"/>
          </w:tcPr>
          <w:p w:rsidR="00BE66C4" w:rsidRDefault="00BA4CAF"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Beskrivelse</w:t>
            </w:r>
          </w:p>
        </w:tc>
        <w:tc>
          <w:tcPr>
            <w:tcW w:w="8301" w:type="dxa"/>
          </w:tcPr>
          <w:p w:rsidR="00BE66C4" w:rsidRDefault="00BE66C4" w:rsidP="003C6566"/>
        </w:tc>
      </w:tr>
    </w:tbl>
    <w:p w:rsidR="003B4B5D" w:rsidRDefault="003B4B5D" w:rsidP="003B4B5D"/>
    <w:tbl>
      <w:tblPr>
        <w:tblStyle w:val="Tabel-Gitter"/>
        <w:tblW w:w="9634" w:type="dxa"/>
        <w:tblLook w:val="04A0" w:firstRow="1" w:lastRow="0" w:firstColumn="1" w:lastColumn="0" w:noHBand="0" w:noVBand="1"/>
      </w:tblPr>
      <w:tblGrid>
        <w:gridCol w:w="1333"/>
        <w:gridCol w:w="8301"/>
      </w:tblGrid>
      <w:tr w:rsidR="00BE66C4" w:rsidRPr="00CB0408" w:rsidTr="003C6566">
        <w:tc>
          <w:tcPr>
            <w:tcW w:w="1333" w:type="dxa"/>
          </w:tcPr>
          <w:p w:rsidR="00BE66C4" w:rsidRPr="005216B5" w:rsidRDefault="00BE66C4" w:rsidP="003C6566">
            <w:pPr>
              <w:spacing w:after="160"/>
              <w:rPr>
                <w:b/>
              </w:rPr>
            </w:pPr>
            <w:r w:rsidRPr="005216B5">
              <w:rPr>
                <w:b/>
              </w:rPr>
              <w:t>Funktion</w:t>
            </w:r>
          </w:p>
        </w:tc>
        <w:tc>
          <w:tcPr>
            <w:tcW w:w="8301" w:type="dxa"/>
          </w:tcPr>
          <w:p w:rsidR="00BE66C4" w:rsidRPr="00CB0408" w:rsidRDefault="00BE66C4" w:rsidP="003C6566">
            <w:pPr>
              <w:spacing w:after="160"/>
              <w:rPr>
                <w:lang w:val="en-US"/>
              </w:rPr>
            </w:pPr>
            <w:r>
              <w:rPr>
                <w:lang w:val="en-US"/>
              </w:rPr>
              <w:t>join</w:t>
            </w:r>
            <w:r>
              <w:rPr>
                <w:lang w:val="en-US"/>
              </w:rPr>
              <w:t>(): void</w:t>
            </w:r>
          </w:p>
        </w:tc>
      </w:tr>
      <w:tr w:rsidR="00BE66C4" w:rsidTr="003C6566">
        <w:tc>
          <w:tcPr>
            <w:tcW w:w="1333" w:type="dxa"/>
          </w:tcPr>
          <w:p w:rsidR="00BE66C4" w:rsidRPr="005216B5" w:rsidRDefault="00BE66C4" w:rsidP="003C6566">
            <w:pPr>
              <w:spacing w:after="160"/>
              <w:rPr>
                <w:b/>
              </w:rPr>
            </w:pPr>
            <w:r w:rsidRPr="005216B5">
              <w:rPr>
                <w:b/>
              </w:rPr>
              <w:t>Parametre</w:t>
            </w:r>
          </w:p>
        </w:tc>
        <w:tc>
          <w:tcPr>
            <w:tcW w:w="8301" w:type="dxa"/>
          </w:tcPr>
          <w:p w:rsidR="00BE66C4" w:rsidRDefault="00BE66C4"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Returværdi</w:t>
            </w:r>
          </w:p>
        </w:tc>
        <w:tc>
          <w:tcPr>
            <w:tcW w:w="8301" w:type="dxa"/>
          </w:tcPr>
          <w:p w:rsidR="00BE66C4" w:rsidRDefault="00BA4CAF" w:rsidP="003C6566">
            <w:pPr>
              <w:spacing w:after="160"/>
            </w:pPr>
            <w:r>
              <w:t xml:space="preserve">Ingen </w:t>
            </w:r>
          </w:p>
        </w:tc>
      </w:tr>
      <w:tr w:rsidR="00BE66C4" w:rsidTr="003C6566">
        <w:tc>
          <w:tcPr>
            <w:tcW w:w="1333" w:type="dxa"/>
          </w:tcPr>
          <w:p w:rsidR="00BE66C4" w:rsidRPr="005216B5" w:rsidRDefault="00BE66C4" w:rsidP="003C6566">
            <w:pPr>
              <w:spacing w:after="160"/>
              <w:rPr>
                <w:b/>
              </w:rPr>
            </w:pPr>
            <w:r w:rsidRPr="005216B5">
              <w:rPr>
                <w:b/>
              </w:rPr>
              <w:t>Beskrivelse</w:t>
            </w:r>
          </w:p>
        </w:tc>
        <w:tc>
          <w:tcPr>
            <w:tcW w:w="8301" w:type="dxa"/>
          </w:tcPr>
          <w:p w:rsidR="00BE66C4" w:rsidRDefault="00BE66C4" w:rsidP="003C6566"/>
        </w:tc>
      </w:tr>
    </w:tbl>
    <w:p w:rsidR="00BE66C4" w:rsidRDefault="00BE66C4" w:rsidP="003B4B5D"/>
    <w:tbl>
      <w:tblPr>
        <w:tblStyle w:val="Tabel-Gitter"/>
        <w:tblW w:w="9634" w:type="dxa"/>
        <w:tblLook w:val="04A0" w:firstRow="1" w:lastRow="0" w:firstColumn="1" w:lastColumn="0" w:noHBand="0" w:noVBand="1"/>
      </w:tblPr>
      <w:tblGrid>
        <w:gridCol w:w="1333"/>
        <w:gridCol w:w="8301"/>
      </w:tblGrid>
      <w:tr w:rsidR="00BE66C4" w:rsidRPr="00CB0408" w:rsidTr="003C6566">
        <w:tc>
          <w:tcPr>
            <w:tcW w:w="1333" w:type="dxa"/>
          </w:tcPr>
          <w:p w:rsidR="00BE66C4" w:rsidRPr="005216B5" w:rsidRDefault="00BE66C4" w:rsidP="003C6566">
            <w:pPr>
              <w:spacing w:after="160"/>
              <w:rPr>
                <w:b/>
              </w:rPr>
            </w:pPr>
            <w:r w:rsidRPr="005216B5">
              <w:rPr>
                <w:b/>
              </w:rPr>
              <w:t>Funktion</w:t>
            </w:r>
          </w:p>
        </w:tc>
        <w:tc>
          <w:tcPr>
            <w:tcW w:w="8301" w:type="dxa"/>
          </w:tcPr>
          <w:p w:rsidR="00BE66C4" w:rsidRPr="00CB0408" w:rsidRDefault="00BE66C4" w:rsidP="00BE66C4">
            <w:pPr>
              <w:spacing w:after="160"/>
              <w:rPr>
                <w:lang w:val="en-US"/>
              </w:rPr>
            </w:pPr>
            <w:r>
              <w:rPr>
                <w:lang w:val="en-US"/>
              </w:rPr>
              <w:t>getMsgQueue</w:t>
            </w:r>
            <w:r>
              <w:rPr>
                <w:lang w:val="en-US"/>
              </w:rPr>
              <w:t xml:space="preserve">(): </w:t>
            </w:r>
            <w:r>
              <w:rPr>
                <w:lang w:val="en-US"/>
              </w:rPr>
              <w:t>MsgQueue*</w:t>
            </w:r>
          </w:p>
        </w:tc>
      </w:tr>
      <w:tr w:rsidR="00BE66C4" w:rsidTr="003C6566">
        <w:tc>
          <w:tcPr>
            <w:tcW w:w="1333" w:type="dxa"/>
          </w:tcPr>
          <w:p w:rsidR="00BE66C4" w:rsidRPr="005216B5" w:rsidRDefault="00BE66C4" w:rsidP="003C6566">
            <w:pPr>
              <w:spacing w:after="160"/>
              <w:rPr>
                <w:b/>
              </w:rPr>
            </w:pPr>
            <w:r w:rsidRPr="005216B5">
              <w:rPr>
                <w:b/>
              </w:rPr>
              <w:t>Parametre</w:t>
            </w:r>
          </w:p>
        </w:tc>
        <w:tc>
          <w:tcPr>
            <w:tcW w:w="8301" w:type="dxa"/>
          </w:tcPr>
          <w:p w:rsidR="00BE66C4" w:rsidRDefault="00BE66C4"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Returværdi</w:t>
            </w:r>
          </w:p>
        </w:tc>
        <w:tc>
          <w:tcPr>
            <w:tcW w:w="8301" w:type="dxa"/>
          </w:tcPr>
          <w:p w:rsidR="00BE66C4" w:rsidRDefault="00BA4CAF" w:rsidP="003C6566">
            <w:pPr>
              <w:spacing w:after="160"/>
            </w:pPr>
            <w:r>
              <w:t>MsgQueue *</w:t>
            </w:r>
          </w:p>
        </w:tc>
      </w:tr>
      <w:tr w:rsidR="00BE66C4" w:rsidTr="003C6566">
        <w:tc>
          <w:tcPr>
            <w:tcW w:w="1333" w:type="dxa"/>
          </w:tcPr>
          <w:p w:rsidR="00BE66C4" w:rsidRPr="005216B5" w:rsidRDefault="00BE66C4" w:rsidP="003C6566">
            <w:pPr>
              <w:spacing w:after="160"/>
              <w:rPr>
                <w:b/>
              </w:rPr>
            </w:pPr>
            <w:r w:rsidRPr="005216B5">
              <w:rPr>
                <w:b/>
              </w:rPr>
              <w:t>Beskrivelse</w:t>
            </w:r>
          </w:p>
        </w:tc>
        <w:tc>
          <w:tcPr>
            <w:tcW w:w="8301" w:type="dxa"/>
          </w:tcPr>
          <w:p w:rsidR="00BE66C4" w:rsidRDefault="00BE66C4" w:rsidP="003C6566"/>
        </w:tc>
      </w:tr>
    </w:tbl>
    <w:p w:rsidR="00BE66C4" w:rsidRDefault="00BE66C4" w:rsidP="003B4B5D"/>
    <w:tbl>
      <w:tblPr>
        <w:tblStyle w:val="Tabel-Gitter"/>
        <w:tblW w:w="9634" w:type="dxa"/>
        <w:tblLook w:val="04A0" w:firstRow="1" w:lastRow="0" w:firstColumn="1" w:lastColumn="0" w:noHBand="0" w:noVBand="1"/>
      </w:tblPr>
      <w:tblGrid>
        <w:gridCol w:w="1333"/>
        <w:gridCol w:w="8301"/>
      </w:tblGrid>
      <w:tr w:rsidR="00BE66C4" w:rsidRPr="00CB0408" w:rsidTr="003C6566">
        <w:tc>
          <w:tcPr>
            <w:tcW w:w="1333" w:type="dxa"/>
          </w:tcPr>
          <w:p w:rsidR="00BE66C4" w:rsidRPr="005216B5" w:rsidRDefault="00BE66C4" w:rsidP="003C6566">
            <w:pPr>
              <w:spacing w:after="160"/>
              <w:rPr>
                <w:b/>
              </w:rPr>
            </w:pPr>
            <w:r w:rsidRPr="005216B5">
              <w:rPr>
                <w:b/>
              </w:rPr>
              <w:t>Funktion</w:t>
            </w:r>
          </w:p>
        </w:tc>
        <w:tc>
          <w:tcPr>
            <w:tcW w:w="8301" w:type="dxa"/>
          </w:tcPr>
          <w:p w:rsidR="00BE66C4" w:rsidRPr="00CB0408" w:rsidRDefault="00BA4CAF" w:rsidP="003C6566">
            <w:pPr>
              <w:spacing w:after="160"/>
              <w:rPr>
                <w:lang w:val="en-US"/>
              </w:rPr>
            </w:pPr>
            <w:r>
              <w:rPr>
                <w:lang w:val="en-US"/>
              </w:rPr>
              <w:t>eventDispatcher</w:t>
            </w:r>
            <w:r>
              <w:rPr>
                <w:lang w:val="en-US"/>
              </w:rPr>
              <w:t>(): void</w:t>
            </w:r>
          </w:p>
        </w:tc>
      </w:tr>
      <w:tr w:rsidR="00BE66C4" w:rsidTr="003C6566">
        <w:tc>
          <w:tcPr>
            <w:tcW w:w="1333" w:type="dxa"/>
          </w:tcPr>
          <w:p w:rsidR="00BE66C4" w:rsidRPr="005216B5" w:rsidRDefault="00BE66C4" w:rsidP="003C6566">
            <w:pPr>
              <w:spacing w:after="160"/>
              <w:rPr>
                <w:b/>
              </w:rPr>
            </w:pPr>
            <w:r w:rsidRPr="005216B5">
              <w:rPr>
                <w:b/>
              </w:rPr>
              <w:t>Parametre</w:t>
            </w:r>
          </w:p>
        </w:tc>
        <w:tc>
          <w:tcPr>
            <w:tcW w:w="8301" w:type="dxa"/>
          </w:tcPr>
          <w:p w:rsidR="00BE66C4" w:rsidRDefault="00BA4CAF"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Returværdi</w:t>
            </w:r>
          </w:p>
        </w:tc>
        <w:tc>
          <w:tcPr>
            <w:tcW w:w="8301" w:type="dxa"/>
          </w:tcPr>
          <w:p w:rsidR="00BE66C4" w:rsidRDefault="00BA4CAF"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Beskrivelse</w:t>
            </w:r>
          </w:p>
        </w:tc>
        <w:tc>
          <w:tcPr>
            <w:tcW w:w="8301" w:type="dxa"/>
          </w:tcPr>
          <w:p w:rsidR="00BE66C4" w:rsidRDefault="00BE66C4" w:rsidP="003C6566"/>
        </w:tc>
      </w:tr>
    </w:tbl>
    <w:p w:rsidR="00BE66C4" w:rsidRDefault="00BE66C4" w:rsidP="003B4B5D"/>
    <w:tbl>
      <w:tblPr>
        <w:tblStyle w:val="Tabel-Gitter"/>
        <w:tblW w:w="9634" w:type="dxa"/>
        <w:tblLook w:val="04A0" w:firstRow="1" w:lastRow="0" w:firstColumn="1" w:lastColumn="0" w:noHBand="0" w:noVBand="1"/>
      </w:tblPr>
      <w:tblGrid>
        <w:gridCol w:w="1333"/>
        <w:gridCol w:w="8301"/>
      </w:tblGrid>
      <w:tr w:rsidR="00BE66C4" w:rsidRPr="00BA4CAF" w:rsidTr="003C6566">
        <w:tc>
          <w:tcPr>
            <w:tcW w:w="1333" w:type="dxa"/>
          </w:tcPr>
          <w:p w:rsidR="00BE66C4" w:rsidRPr="005216B5" w:rsidRDefault="00BE66C4" w:rsidP="003C6566">
            <w:pPr>
              <w:spacing w:after="160"/>
              <w:rPr>
                <w:b/>
              </w:rPr>
            </w:pPr>
            <w:r w:rsidRPr="005216B5">
              <w:rPr>
                <w:b/>
              </w:rPr>
              <w:t>Funktion</w:t>
            </w:r>
          </w:p>
        </w:tc>
        <w:tc>
          <w:tcPr>
            <w:tcW w:w="8301" w:type="dxa"/>
          </w:tcPr>
          <w:p w:rsidR="00BE66C4" w:rsidRPr="00CB0408" w:rsidRDefault="00BA4CAF" w:rsidP="003C6566">
            <w:pPr>
              <w:spacing w:after="160"/>
              <w:rPr>
                <w:lang w:val="en-US"/>
              </w:rPr>
            </w:pPr>
            <w:r>
              <w:rPr>
                <w:lang w:val="en-US"/>
              </w:rPr>
              <w:t>setPreset(list&lt;SensorConfiguration&gt;&amp; sensConfList): void</w:t>
            </w:r>
          </w:p>
        </w:tc>
      </w:tr>
      <w:tr w:rsidR="00BE66C4" w:rsidRPr="000B3B66" w:rsidTr="003C6566">
        <w:tc>
          <w:tcPr>
            <w:tcW w:w="1333" w:type="dxa"/>
          </w:tcPr>
          <w:p w:rsidR="00BE66C4" w:rsidRPr="005216B5" w:rsidRDefault="00BE66C4" w:rsidP="003C6566">
            <w:pPr>
              <w:spacing w:after="160"/>
              <w:rPr>
                <w:b/>
              </w:rPr>
            </w:pPr>
            <w:r w:rsidRPr="005216B5">
              <w:rPr>
                <w:b/>
              </w:rPr>
              <w:t>Parametre</w:t>
            </w:r>
          </w:p>
        </w:tc>
        <w:tc>
          <w:tcPr>
            <w:tcW w:w="8301" w:type="dxa"/>
          </w:tcPr>
          <w:p w:rsidR="00BE66C4" w:rsidRPr="000B3B66" w:rsidRDefault="00BA4CAF" w:rsidP="000B3B66">
            <w:pPr>
              <w:spacing w:after="160"/>
            </w:pPr>
            <w:r w:rsidRPr="000B3B66">
              <w:t>list&lt;SensorConfiguration&gt;&amp; sensConfList</w:t>
            </w:r>
            <w:r w:rsidRPr="000B3B66">
              <w:t xml:space="preserve">: </w:t>
            </w:r>
            <w:r w:rsidR="000B3B66">
              <w:t>En reference til de SensorConfigurationer, der ligger i</w:t>
            </w:r>
            <w:r w:rsidR="000B3B66" w:rsidRPr="000B3B66">
              <w:t xml:space="preserve"> det preset, man ønsker at aktivere</w:t>
            </w:r>
          </w:p>
        </w:tc>
      </w:tr>
      <w:tr w:rsidR="00BE66C4" w:rsidTr="003C6566">
        <w:tc>
          <w:tcPr>
            <w:tcW w:w="1333" w:type="dxa"/>
          </w:tcPr>
          <w:p w:rsidR="00BE66C4" w:rsidRPr="005216B5" w:rsidRDefault="00BE66C4" w:rsidP="003C6566">
            <w:pPr>
              <w:spacing w:after="160"/>
              <w:rPr>
                <w:b/>
              </w:rPr>
            </w:pPr>
            <w:r w:rsidRPr="005216B5">
              <w:rPr>
                <w:b/>
              </w:rPr>
              <w:t>Returværdi</w:t>
            </w:r>
          </w:p>
        </w:tc>
        <w:tc>
          <w:tcPr>
            <w:tcW w:w="8301" w:type="dxa"/>
          </w:tcPr>
          <w:p w:rsidR="00BE66C4" w:rsidRDefault="00BA4CAF"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Beskrivelse</w:t>
            </w:r>
          </w:p>
        </w:tc>
        <w:tc>
          <w:tcPr>
            <w:tcW w:w="8301" w:type="dxa"/>
          </w:tcPr>
          <w:p w:rsidR="00BE66C4" w:rsidRDefault="000B3B66" w:rsidP="003C6566">
            <w:r>
              <w:t>Denne</w:t>
            </w:r>
            <w:r w:rsidR="00BA76FB">
              <w:t xml:space="preserve"> funktion opdaterer MidiModule’s atributter list&lt;SensorConfiguration&gt;&amp; og vector&lt;MidiModule&gt;</w:t>
            </w:r>
          </w:p>
        </w:tc>
      </w:tr>
    </w:tbl>
    <w:p w:rsidR="00BE66C4" w:rsidRDefault="00BE66C4" w:rsidP="003B4B5D"/>
    <w:p w:rsidR="00430B2F" w:rsidRDefault="00430B2F">
      <w:r>
        <w:br w:type="page"/>
      </w:r>
    </w:p>
    <w:tbl>
      <w:tblPr>
        <w:tblStyle w:val="Tabel-Gitter"/>
        <w:tblW w:w="9634" w:type="dxa"/>
        <w:tblLook w:val="04A0" w:firstRow="1" w:lastRow="0" w:firstColumn="1" w:lastColumn="0" w:noHBand="0" w:noVBand="1"/>
      </w:tblPr>
      <w:tblGrid>
        <w:gridCol w:w="1333"/>
        <w:gridCol w:w="8301"/>
      </w:tblGrid>
      <w:tr w:rsidR="00BE66C4" w:rsidRPr="00CB0408" w:rsidTr="003C6566">
        <w:tc>
          <w:tcPr>
            <w:tcW w:w="1333" w:type="dxa"/>
          </w:tcPr>
          <w:p w:rsidR="00BE66C4" w:rsidRPr="005216B5" w:rsidRDefault="00BE66C4" w:rsidP="003C6566">
            <w:pPr>
              <w:spacing w:after="160"/>
              <w:rPr>
                <w:b/>
              </w:rPr>
            </w:pPr>
            <w:r w:rsidRPr="005216B5">
              <w:rPr>
                <w:b/>
              </w:rPr>
              <w:lastRenderedPageBreak/>
              <w:t>Funktion</w:t>
            </w:r>
          </w:p>
        </w:tc>
        <w:tc>
          <w:tcPr>
            <w:tcW w:w="8301" w:type="dxa"/>
          </w:tcPr>
          <w:p w:rsidR="00BE66C4" w:rsidRPr="00CB0408" w:rsidRDefault="00BA4CAF" w:rsidP="003C6566">
            <w:pPr>
              <w:spacing w:after="160"/>
              <w:rPr>
                <w:lang w:val="en-US"/>
              </w:rPr>
            </w:pPr>
            <w:r>
              <w:rPr>
                <w:lang w:val="en-US"/>
              </w:rPr>
              <w:t>handleDataMsg(DataMsg* msg): void</w:t>
            </w:r>
          </w:p>
        </w:tc>
      </w:tr>
      <w:tr w:rsidR="00BE66C4" w:rsidTr="003C6566">
        <w:tc>
          <w:tcPr>
            <w:tcW w:w="1333" w:type="dxa"/>
          </w:tcPr>
          <w:p w:rsidR="00BE66C4" w:rsidRPr="005216B5" w:rsidRDefault="00BE66C4" w:rsidP="003C6566">
            <w:pPr>
              <w:spacing w:after="160"/>
              <w:rPr>
                <w:b/>
              </w:rPr>
            </w:pPr>
            <w:r w:rsidRPr="005216B5">
              <w:rPr>
                <w:b/>
              </w:rPr>
              <w:t>Parametre</w:t>
            </w:r>
          </w:p>
        </w:tc>
        <w:tc>
          <w:tcPr>
            <w:tcW w:w="8301" w:type="dxa"/>
          </w:tcPr>
          <w:p w:rsidR="00BE66C4" w:rsidRDefault="00BA4CAF" w:rsidP="003C6566">
            <w:pPr>
              <w:spacing w:after="160"/>
            </w:pPr>
            <w:r>
              <w:rPr>
                <w:lang w:val="en-US"/>
              </w:rPr>
              <w:t>DataMsg* msg</w:t>
            </w:r>
          </w:p>
        </w:tc>
      </w:tr>
      <w:tr w:rsidR="00BE66C4" w:rsidTr="003C6566">
        <w:tc>
          <w:tcPr>
            <w:tcW w:w="1333" w:type="dxa"/>
          </w:tcPr>
          <w:p w:rsidR="00BE66C4" w:rsidRPr="005216B5" w:rsidRDefault="00BE66C4" w:rsidP="003C6566">
            <w:pPr>
              <w:spacing w:after="160"/>
              <w:rPr>
                <w:b/>
              </w:rPr>
            </w:pPr>
            <w:r w:rsidRPr="005216B5">
              <w:rPr>
                <w:b/>
              </w:rPr>
              <w:t>Returværdi</w:t>
            </w:r>
          </w:p>
        </w:tc>
        <w:tc>
          <w:tcPr>
            <w:tcW w:w="8301" w:type="dxa"/>
          </w:tcPr>
          <w:p w:rsidR="00BE66C4" w:rsidRDefault="00BA4CAF"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Beskrivelse</w:t>
            </w:r>
          </w:p>
        </w:tc>
        <w:tc>
          <w:tcPr>
            <w:tcW w:w="8301" w:type="dxa"/>
          </w:tcPr>
          <w:p w:rsidR="00BE66C4" w:rsidRDefault="000B3B66" w:rsidP="000B3B66">
            <w:r>
              <w:t>Kaldes</w:t>
            </w:r>
            <w:r w:rsidR="00666D20">
              <w:t xml:space="preserve"> automatisk når en DataMsg påfyldes MsgQueue. </w:t>
            </w:r>
            <w:r>
              <w:t>Den har til opgave at opdatere MidiModules MidiSignal vector på baggrund af det modtagne data.</w:t>
            </w:r>
          </w:p>
        </w:tc>
      </w:tr>
    </w:tbl>
    <w:p w:rsidR="00BE66C4" w:rsidRDefault="00BE66C4" w:rsidP="003B4B5D"/>
    <w:tbl>
      <w:tblPr>
        <w:tblStyle w:val="Tabel-Gitter"/>
        <w:tblW w:w="9634" w:type="dxa"/>
        <w:tblLook w:val="04A0" w:firstRow="1" w:lastRow="0" w:firstColumn="1" w:lastColumn="0" w:noHBand="0" w:noVBand="1"/>
      </w:tblPr>
      <w:tblGrid>
        <w:gridCol w:w="1333"/>
        <w:gridCol w:w="8301"/>
      </w:tblGrid>
      <w:tr w:rsidR="00BE66C4" w:rsidRPr="00CB0408" w:rsidTr="003C6566">
        <w:tc>
          <w:tcPr>
            <w:tcW w:w="1333" w:type="dxa"/>
          </w:tcPr>
          <w:p w:rsidR="00BE66C4" w:rsidRPr="005216B5" w:rsidRDefault="00BE66C4" w:rsidP="003C6566">
            <w:pPr>
              <w:spacing w:after="160"/>
              <w:rPr>
                <w:b/>
              </w:rPr>
            </w:pPr>
            <w:r w:rsidRPr="005216B5">
              <w:rPr>
                <w:b/>
              </w:rPr>
              <w:t>Funktion</w:t>
            </w:r>
          </w:p>
        </w:tc>
        <w:tc>
          <w:tcPr>
            <w:tcW w:w="8301" w:type="dxa"/>
          </w:tcPr>
          <w:p w:rsidR="00BE66C4" w:rsidRPr="00666D20" w:rsidRDefault="00BA4CAF" w:rsidP="003C6566">
            <w:pPr>
              <w:spacing w:after="160"/>
            </w:pPr>
            <w:r w:rsidRPr="00666D20">
              <w:t>handleS</w:t>
            </w:r>
            <w:r w:rsidR="001A2776">
              <w:t>h</w:t>
            </w:r>
            <w:r w:rsidRPr="00666D20">
              <w:t>utDownMsg(DataMsg * msg): void</w:t>
            </w:r>
          </w:p>
        </w:tc>
      </w:tr>
      <w:tr w:rsidR="00BE66C4" w:rsidTr="003C6566">
        <w:tc>
          <w:tcPr>
            <w:tcW w:w="1333" w:type="dxa"/>
          </w:tcPr>
          <w:p w:rsidR="00BE66C4" w:rsidRPr="005216B5" w:rsidRDefault="00BE66C4" w:rsidP="003C6566">
            <w:pPr>
              <w:spacing w:after="160"/>
              <w:rPr>
                <w:b/>
              </w:rPr>
            </w:pPr>
            <w:r w:rsidRPr="005216B5">
              <w:rPr>
                <w:b/>
              </w:rPr>
              <w:t>Parametre</w:t>
            </w:r>
          </w:p>
        </w:tc>
        <w:tc>
          <w:tcPr>
            <w:tcW w:w="8301" w:type="dxa"/>
          </w:tcPr>
          <w:p w:rsidR="00BE66C4" w:rsidRDefault="00BA4CAF" w:rsidP="003C6566">
            <w:pPr>
              <w:spacing w:after="160"/>
            </w:pPr>
            <w:r>
              <w:t>DataMsg * msg:</w:t>
            </w:r>
          </w:p>
        </w:tc>
      </w:tr>
      <w:tr w:rsidR="00BE66C4" w:rsidTr="003C6566">
        <w:tc>
          <w:tcPr>
            <w:tcW w:w="1333" w:type="dxa"/>
          </w:tcPr>
          <w:p w:rsidR="00BE66C4" w:rsidRPr="005216B5" w:rsidRDefault="00BE66C4" w:rsidP="003C6566">
            <w:pPr>
              <w:spacing w:after="160"/>
              <w:rPr>
                <w:b/>
              </w:rPr>
            </w:pPr>
            <w:r w:rsidRPr="005216B5">
              <w:rPr>
                <w:b/>
              </w:rPr>
              <w:t>Returværdi</w:t>
            </w:r>
          </w:p>
        </w:tc>
        <w:tc>
          <w:tcPr>
            <w:tcW w:w="8301" w:type="dxa"/>
          </w:tcPr>
          <w:p w:rsidR="00BE66C4" w:rsidRDefault="00BA4CAF" w:rsidP="003C6566">
            <w:pPr>
              <w:spacing w:after="160"/>
            </w:pPr>
            <w:r>
              <w:t>Ingen</w:t>
            </w:r>
          </w:p>
        </w:tc>
      </w:tr>
      <w:tr w:rsidR="00BE66C4" w:rsidTr="003C6566">
        <w:tc>
          <w:tcPr>
            <w:tcW w:w="1333" w:type="dxa"/>
          </w:tcPr>
          <w:p w:rsidR="00BE66C4" w:rsidRPr="005216B5" w:rsidRDefault="00BE66C4" w:rsidP="003C6566">
            <w:pPr>
              <w:spacing w:after="160"/>
              <w:rPr>
                <w:b/>
              </w:rPr>
            </w:pPr>
            <w:r w:rsidRPr="005216B5">
              <w:rPr>
                <w:b/>
              </w:rPr>
              <w:t>Beskrivelse</w:t>
            </w:r>
          </w:p>
        </w:tc>
        <w:tc>
          <w:tcPr>
            <w:tcW w:w="8301" w:type="dxa"/>
          </w:tcPr>
          <w:p w:rsidR="00BE66C4" w:rsidRDefault="00BE66C4" w:rsidP="003C6566"/>
        </w:tc>
      </w:tr>
    </w:tbl>
    <w:p w:rsidR="00BE66C4" w:rsidRDefault="00BE66C4" w:rsidP="003B4B5D"/>
    <w:tbl>
      <w:tblPr>
        <w:tblStyle w:val="Tabel-Gitter"/>
        <w:tblW w:w="9634" w:type="dxa"/>
        <w:tblLook w:val="04A0" w:firstRow="1" w:lastRow="0" w:firstColumn="1" w:lastColumn="0" w:noHBand="0" w:noVBand="1"/>
      </w:tblPr>
      <w:tblGrid>
        <w:gridCol w:w="1333"/>
        <w:gridCol w:w="8301"/>
      </w:tblGrid>
      <w:tr w:rsidR="00BA4CAF" w:rsidRPr="00CB0408" w:rsidTr="003C6566">
        <w:tc>
          <w:tcPr>
            <w:tcW w:w="1333" w:type="dxa"/>
          </w:tcPr>
          <w:p w:rsidR="00BA4CAF" w:rsidRPr="005216B5" w:rsidRDefault="00BA4CAF" w:rsidP="003C6566">
            <w:pPr>
              <w:spacing w:after="160"/>
              <w:rPr>
                <w:b/>
              </w:rPr>
            </w:pPr>
            <w:r w:rsidRPr="005216B5">
              <w:rPr>
                <w:b/>
              </w:rPr>
              <w:t>Funktion</w:t>
            </w:r>
          </w:p>
        </w:tc>
        <w:tc>
          <w:tcPr>
            <w:tcW w:w="8301" w:type="dxa"/>
          </w:tcPr>
          <w:p w:rsidR="00BA4CAF" w:rsidRPr="00CB0408" w:rsidRDefault="00BA4CAF" w:rsidP="001A2776">
            <w:pPr>
              <w:spacing w:after="160"/>
              <w:rPr>
                <w:lang w:val="en-US"/>
              </w:rPr>
            </w:pPr>
            <w:r w:rsidRPr="00666D20">
              <w:t>B</w:t>
            </w:r>
            <w:r w:rsidR="001A2776">
              <w:t>R</w:t>
            </w:r>
            <w:r w:rsidRPr="00666D20">
              <w:t>3K_err</w:t>
            </w:r>
            <w:r>
              <w:rPr>
                <w:lang w:val="en-US"/>
              </w:rPr>
              <w:t>or(int errorNum, std::string msg): void</w:t>
            </w:r>
          </w:p>
        </w:tc>
      </w:tr>
      <w:tr w:rsidR="00BA4CAF" w:rsidTr="003C6566">
        <w:tc>
          <w:tcPr>
            <w:tcW w:w="1333" w:type="dxa"/>
          </w:tcPr>
          <w:p w:rsidR="00BA4CAF" w:rsidRPr="005216B5" w:rsidRDefault="00BA4CAF" w:rsidP="003C6566">
            <w:pPr>
              <w:spacing w:after="160"/>
              <w:rPr>
                <w:b/>
              </w:rPr>
            </w:pPr>
            <w:r w:rsidRPr="005216B5">
              <w:rPr>
                <w:b/>
              </w:rPr>
              <w:t>Parametre</w:t>
            </w:r>
          </w:p>
        </w:tc>
        <w:tc>
          <w:tcPr>
            <w:tcW w:w="8301" w:type="dxa"/>
          </w:tcPr>
          <w:p w:rsidR="00BA4CAF" w:rsidRPr="00BA4CAF" w:rsidRDefault="00BA4CAF" w:rsidP="00BA4CAF">
            <w:pPr>
              <w:spacing w:after="160"/>
            </w:pPr>
            <w:r w:rsidRPr="00BA4CAF">
              <w:t>int errorNum</w:t>
            </w:r>
            <w:r>
              <w:t>:</w:t>
            </w:r>
            <w:r w:rsidRPr="00BA4CAF">
              <w:br/>
            </w:r>
            <w:r w:rsidRPr="00BA4CAF">
              <w:t>std::string msg</w:t>
            </w:r>
            <w:r>
              <w:t xml:space="preserve">: </w:t>
            </w:r>
          </w:p>
        </w:tc>
      </w:tr>
      <w:tr w:rsidR="00BA4CAF" w:rsidTr="003C6566">
        <w:tc>
          <w:tcPr>
            <w:tcW w:w="1333" w:type="dxa"/>
          </w:tcPr>
          <w:p w:rsidR="00BA4CAF" w:rsidRPr="005216B5" w:rsidRDefault="00BA4CAF" w:rsidP="003C6566">
            <w:pPr>
              <w:spacing w:after="160"/>
              <w:rPr>
                <w:b/>
              </w:rPr>
            </w:pPr>
            <w:r w:rsidRPr="005216B5">
              <w:rPr>
                <w:b/>
              </w:rPr>
              <w:t>Returværdi</w:t>
            </w:r>
          </w:p>
        </w:tc>
        <w:tc>
          <w:tcPr>
            <w:tcW w:w="8301" w:type="dxa"/>
          </w:tcPr>
          <w:p w:rsidR="00BA4CAF" w:rsidRDefault="00BA4CAF" w:rsidP="003C6566">
            <w:pPr>
              <w:spacing w:after="160"/>
            </w:pPr>
            <w:r>
              <w:t>Ingen</w:t>
            </w:r>
          </w:p>
        </w:tc>
      </w:tr>
      <w:tr w:rsidR="00BA4CAF" w:rsidTr="003C6566">
        <w:tc>
          <w:tcPr>
            <w:tcW w:w="1333" w:type="dxa"/>
          </w:tcPr>
          <w:p w:rsidR="00BA4CAF" w:rsidRPr="005216B5" w:rsidRDefault="00BA4CAF" w:rsidP="003C6566">
            <w:pPr>
              <w:spacing w:after="160"/>
              <w:rPr>
                <w:b/>
              </w:rPr>
            </w:pPr>
            <w:r w:rsidRPr="005216B5">
              <w:rPr>
                <w:b/>
              </w:rPr>
              <w:t>Beskrivelse</w:t>
            </w:r>
          </w:p>
        </w:tc>
        <w:tc>
          <w:tcPr>
            <w:tcW w:w="8301" w:type="dxa"/>
          </w:tcPr>
          <w:p w:rsidR="00BA4CAF" w:rsidRDefault="00BA4CAF" w:rsidP="003C6566"/>
        </w:tc>
      </w:tr>
    </w:tbl>
    <w:p w:rsidR="00BA4CAF" w:rsidRDefault="00BA4CAF" w:rsidP="003B4B5D"/>
    <w:tbl>
      <w:tblPr>
        <w:tblStyle w:val="Tabel-Gitter"/>
        <w:tblW w:w="9634" w:type="dxa"/>
        <w:tblLook w:val="04A0" w:firstRow="1" w:lastRow="0" w:firstColumn="1" w:lastColumn="0" w:noHBand="0" w:noVBand="1"/>
      </w:tblPr>
      <w:tblGrid>
        <w:gridCol w:w="1333"/>
        <w:gridCol w:w="8301"/>
      </w:tblGrid>
      <w:tr w:rsidR="00BA4CAF" w:rsidRPr="00CB0408" w:rsidTr="003C6566">
        <w:tc>
          <w:tcPr>
            <w:tcW w:w="1333" w:type="dxa"/>
          </w:tcPr>
          <w:p w:rsidR="00BA4CAF" w:rsidRPr="005216B5" w:rsidRDefault="00BA4CAF" w:rsidP="003C6566">
            <w:pPr>
              <w:spacing w:after="160"/>
              <w:rPr>
                <w:b/>
              </w:rPr>
            </w:pPr>
            <w:r w:rsidRPr="005216B5">
              <w:rPr>
                <w:b/>
              </w:rPr>
              <w:t>Funktion</w:t>
            </w:r>
          </w:p>
        </w:tc>
        <w:tc>
          <w:tcPr>
            <w:tcW w:w="8301" w:type="dxa"/>
          </w:tcPr>
          <w:p w:rsidR="00BA4CAF" w:rsidRPr="00BA4CAF" w:rsidRDefault="00BA4CAF" w:rsidP="003C6566">
            <w:pPr>
              <w:spacing w:after="160"/>
            </w:pPr>
          </w:p>
        </w:tc>
      </w:tr>
      <w:tr w:rsidR="00BA4CAF" w:rsidTr="003C6566">
        <w:tc>
          <w:tcPr>
            <w:tcW w:w="1333" w:type="dxa"/>
          </w:tcPr>
          <w:p w:rsidR="00BA4CAF" w:rsidRPr="005216B5" w:rsidRDefault="00BA4CAF" w:rsidP="003C6566">
            <w:pPr>
              <w:spacing w:after="160"/>
              <w:rPr>
                <w:b/>
              </w:rPr>
            </w:pPr>
            <w:r w:rsidRPr="005216B5">
              <w:rPr>
                <w:b/>
              </w:rPr>
              <w:t>Parametre</w:t>
            </w:r>
          </w:p>
        </w:tc>
        <w:tc>
          <w:tcPr>
            <w:tcW w:w="8301" w:type="dxa"/>
          </w:tcPr>
          <w:p w:rsidR="00BA4CAF" w:rsidRDefault="00BA4CAF" w:rsidP="003C6566">
            <w:pPr>
              <w:spacing w:after="160"/>
            </w:pPr>
          </w:p>
        </w:tc>
      </w:tr>
      <w:tr w:rsidR="00BA4CAF" w:rsidTr="003C6566">
        <w:tc>
          <w:tcPr>
            <w:tcW w:w="1333" w:type="dxa"/>
          </w:tcPr>
          <w:p w:rsidR="00BA4CAF" w:rsidRPr="005216B5" w:rsidRDefault="00BA4CAF" w:rsidP="003C6566">
            <w:pPr>
              <w:spacing w:after="160"/>
              <w:rPr>
                <w:b/>
              </w:rPr>
            </w:pPr>
            <w:r w:rsidRPr="005216B5">
              <w:rPr>
                <w:b/>
              </w:rPr>
              <w:t>Returværdi</w:t>
            </w:r>
          </w:p>
        </w:tc>
        <w:tc>
          <w:tcPr>
            <w:tcW w:w="8301" w:type="dxa"/>
          </w:tcPr>
          <w:p w:rsidR="00BA4CAF" w:rsidRDefault="00BA4CAF" w:rsidP="003C6566">
            <w:pPr>
              <w:spacing w:after="160"/>
            </w:pPr>
          </w:p>
        </w:tc>
      </w:tr>
      <w:tr w:rsidR="00BA4CAF" w:rsidTr="003C6566">
        <w:tc>
          <w:tcPr>
            <w:tcW w:w="1333" w:type="dxa"/>
          </w:tcPr>
          <w:p w:rsidR="00BA4CAF" w:rsidRPr="005216B5" w:rsidRDefault="00BA4CAF" w:rsidP="003C6566">
            <w:pPr>
              <w:spacing w:after="160"/>
              <w:rPr>
                <w:b/>
              </w:rPr>
            </w:pPr>
            <w:r w:rsidRPr="005216B5">
              <w:rPr>
                <w:b/>
              </w:rPr>
              <w:t>Beskrivelse</w:t>
            </w:r>
          </w:p>
        </w:tc>
        <w:tc>
          <w:tcPr>
            <w:tcW w:w="8301" w:type="dxa"/>
          </w:tcPr>
          <w:p w:rsidR="00BA4CAF" w:rsidRDefault="00BA4CAF" w:rsidP="003C6566"/>
        </w:tc>
      </w:tr>
    </w:tbl>
    <w:p w:rsidR="00BA4CAF" w:rsidRPr="003B4B5D" w:rsidRDefault="00BA4CAF" w:rsidP="003B4B5D"/>
    <w:p w:rsidR="001A2776" w:rsidRDefault="001A2776">
      <w:pPr>
        <w:rPr>
          <w:rFonts w:asciiTheme="majorHAnsi" w:eastAsiaTheme="majorEastAsia" w:hAnsiTheme="majorHAnsi" w:cstheme="majorBidi"/>
          <w:i/>
          <w:iCs/>
          <w:color w:val="2E74B5" w:themeColor="accent1" w:themeShade="BF"/>
        </w:rPr>
      </w:pPr>
      <w:r>
        <w:br w:type="page"/>
      </w:r>
    </w:p>
    <w:p w:rsidR="00CB0079" w:rsidRDefault="00CB0079" w:rsidP="00CB0079">
      <w:pPr>
        <w:pStyle w:val="Overskrift4"/>
      </w:pPr>
      <w:r>
        <w:lastRenderedPageBreak/>
        <w:t>Implementering</w:t>
      </w:r>
    </w:p>
    <w:p w:rsidR="00CB0079" w:rsidRDefault="00430B2F" w:rsidP="00430B2F">
      <w:pPr>
        <w:pStyle w:val="Overskrift5"/>
      </w:pPr>
      <w:r>
        <w:t>start</w:t>
      </w:r>
    </w:p>
    <w:p w:rsidR="00430B2F" w:rsidRDefault="00430B2F" w:rsidP="00430B2F"/>
    <w:p w:rsidR="00430B2F" w:rsidRPr="00430B2F" w:rsidRDefault="00430B2F" w:rsidP="00430B2F">
      <w:pPr>
        <w:pStyle w:val="Overskrift5"/>
      </w:pPr>
      <w:r>
        <w:t>join</w:t>
      </w:r>
    </w:p>
    <w:p w:rsidR="00CB0079" w:rsidRDefault="00CB0079" w:rsidP="00CB0079"/>
    <w:p w:rsidR="001A2776" w:rsidRDefault="001A2776" w:rsidP="001A2776">
      <w:pPr>
        <w:pStyle w:val="Overskrift5"/>
        <w:rPr>
          <w:lang w:val="en-US"/>
        </w:rPr>
      </w:pPr>
      <w:r>
        <w:rPr>
          <w:lang w:val="en-US"/>
        </w:rPr>
        <w:t>getMsgQueue</w:t>
      </w:r>
    </w:p>
    <w:p w:rsidR="001A2776" w:rsidRDefault="001A2776" w:rsidP="001A2776">
      <w:pPr>
        <w:rPr>
          <w:lang w:val="en-US"/>
        </w:rPr>
      </w:pPr>
    </w:p>
    <w:p w:rsidR="001A2776" w:rsidRDefault="001A2776" w:rsidP="001A2776">
      <w:pPr>
        <w:pStyle w:val="Overskrift5"/>
        <w:rPr>
          <w:lang w:val="en-US"/>
        </w:rPr>
      </w:pPr>
      <w:r>
        <w:rPr>
          <w:lang w:val="en-US"/>
        </w:rPr>
        <w:t>setPreset</w:t>
      </w:r>
    </w:p>
    <w:p w:rsidR="001A2776" w:rsidRDefault="00E569F3" w:rsidP="001A2776">
      <w:r>
        <w:t xml:space="preserve">Implementeringen for setPreset er ligetil takket være </w:t>
      </w:r>
      <w:r w:rsidRPr="00E569F3">
        <w:t xml:space="preserve">STL </w:t>
      </w:r>
      <w:r>
        <w:t>containerne list og vector. Disse muliggør opdatering af MidiModule attributterne som følge:</w:t>
      </w:r>
    </w:p>
    <w:p w:rsidR="00E569F3" w:rsidRPr="00E569F3" w:rsidRDefault="00E569F3" w:rsidP="00E569F3">
      <w:pPr>
        <w:autoSpaceDE w:val="0"/>
        <w:autoSpaceDN w:val="0"/>
        <w:adjustRightInd w:val="0"/>
        <w:spacing w:after="0" w:line="240" w:lineRule="auto"/>
        <w:rPr>
          <w:rFonts w:ascii="Consolas" w:hAnsi="Consolas" w:cs="Consolas"/>
          <w:color w:val="000000"/>
          <w:sz w:val="19"/>
          <w:szCs w:val="19"/>
          <w:highlight w:val="white"/>
          <w:lang w:val="en-US"/>
        </w:rPr>
      </w:pPr>
      <w:r w:rsidRPr="00E569F3">
        <w:rPr>
          <w:rFonts w:ascii="Consolas" w:hAnsi="Consolas" w:cs="Consolas"/>
          <w:color w:val="000000"/>
          <w:sz w:val="19"/>
          <w:szCs w:val="19"/>
          <w:highlight w:val="white"/>
          <w:lang w:val="en-US"/>
        </w:rPr>
        <w:t>sensorConfList_ = sensConfList;</w:t>
      </w:r>
    </w:p>
    <w:p w:rsidR="00E569F3" w:rsidRDefault="00E569F3" w:rsidP="00E569F3">
      <w:pPr>
        <w:rPr>
          <w:rFonts w:ascii="Consolas" w:hAnsi="Consolas" w:cs="Consolas"/>
          <w:color w:val="000000"/>
          <w:sz w:val="19"/>
          <w:szCs w:val="19"/>
          <w:lang w:val="en-US"/>
        </w:rPr>
      </w:pPr>
      <w:r w:rsidRPr="00E569F3">
        <w:rPr>
          <w:rFonts w:ascii="Consolas" w:hAnsi="Consolas" w:cs="Consolas"/>
          <w:color w:val="000000"/>
          <w:sz w:val="19"/>
          <w:szCs w:val="19"/>
          <w:highlight w:val="white"/>
          <w:lang w:val="en-US"/>
        </w:rPr>
        <w:t>midiSignalVector_ = std::vector&lt;MidiSignal&gt;(sensConfList.size());</w:t>
      </w:r>
    </w:p>
    <w:p w:rsidR="00E569F3" w:rsidRPr="00E569F3" w:rsidRDefault="00E569F3" w:rsidP="00E569F3">
      <w:r w:rsidRPr="00E569F3">
        <w:t>Bemærk at der o</w:t>
      </w:r>
      <w:r>
        <w:t>prettes et MidiSignal for hver S</w:t>
      </w:r>
      <w:r w:rsidRPr="00E569F3">
        <w:t>ensorConfiguration</w:t>
      </w:r>
      <w:r>
        <w:t xml:space="preserve"> i sensConfList.</w:t>
      </w:r>
      <w:r w:rsidRPr="00E569F3">
        <w:t xml:space="preserve"> </w:t>
      </w:r>
    </w:p>
    <w:p w:rsidR="001A2776" w:rsidRPr="00E569F3" w:rsidRDefault="001A2776" w:rsidP="001A2776">
      <w:pPr>
        <w:pStyle w:val="Overskrift5"/>
      </w:pPr>
      <w:r w:rsidRPr="00E569F3">
        <w:t>handleDataMsg</w:t>
      </w:r>
    </w:p>
    <w:p w:rsidR="00E569F3" w:rsidRDefault="00E569F3" w:rsidP="001A2776">
      <w:r>
        <w:t>MidiSignal vector opdateres ved at itterere gennem MidiSignals sensConfList og kalde dennes map</w:t>
      </w:r>
      <w:r w:rsidR="00A742B2">
        <w:t>-funktion med det modtagne data.</w:t>
      </w:r>
      <w:r w:rsidR="000A2AFA">
        <w:t xml:space="preserve"> Dernæst afsendes det den opdaterede midiSignalVector til AlsaAdapter.</w:t>
      </w:r>
    </w:p>
    <w:p w:rsidR="000A2AFA" w:rsidRDefault="000A2AFA" w:rsidP="001A2776">
      <w:r>
        <w:t>Herunder ses et sekvensdiagram for funktionen</w:t>
      </w:r>
    </w:p>
    <w:p w:rsidR="00A742B2" w:rsidRDefault="00A742B2" w:rsidP="001A2776">
      <w:r>
        <w:object w:dxaOrig="10117" w:dyaOrig="6516">
          <v:shape id="_x0000_i1026" type="#_x0000_t75" style="width:481.5pt;height:310pt" o:ole="">
            <v:imagedata r:id="rId9" o:title=""/>
          </v:shape>
          <o:OLEObject Type="Embed" ProgID="Visio.Drawing.15" ShapeID="_x0000_i1026" DrawAspect="Content" ObjectID="_1480160438" r:id="rId10"/>
        </w:object>
      </w:r>
    </w:p>
    <w:p w:rsidR="00E569F3" w:rsidRPr="00E569F3" w:rsidRDefault="00E569F3" w:rsidP="001A2776"/>
    <w:p w:rsidR="001A2776" w:rsidRDefault="001A2776" w:rsidP="001A2776">
      <w:pPr>
        <w:pStyle w:val="Overskrift5"/>
      </w:pPr>
      <w:r w:rsidRPr="00666D20">
        <w:lastRenderedPageBreak/>
        <w:t>handleS</w:t>
      </w:r>
      <w:r>
        <w:t>h</w:t>
      </w:r>
      <w:r w:rsidRPr="00666D20">
        <w:t>utDownMsg</w:t>
      </w:r>
    </w:p>
    <w:p w:rsidR="001A2776" w:rsidRDefault="001A2776" w:rsidP="001A2776">
      <w:pPr>
        <w:pStyle w:val="Overskrift5"/>
        <w:rPr>
          <w:lang w:val="en-US"/>
        </w:rPr>
      </w:pPr>
      <w:r w:rsidRPr="00666D20">
        <w:t>B</w:t>
      </w:r>
      <w:r>
        <w:t>R</w:t>
      </w:r>
      <w:r w:rsidRPr="00666D20">
        <w:t>3K_err</w:t>
      </w:r>
      <w:r>
        <w:rPr>
          <w:lang w:val="en-US"/>
        </w:rPr>
        <w:t>or</w:t>
      </w:r>
    </w:p>
    <w:p w:rsidR="001A2776" w:rsidRPr="001A2776" w:rsidRDefault="001A2776" w:rsidP="001A2776">
      <w:pPr>
        <w:rPr>
          <w:lang w:val="en-US"/>
        </w:rPr>
      </w:pPr>
    </w:p>
    <w:p w:rsidR="00CB0079" w:rsidRDefault="00CB0079" w:rsidP="00CB0079">
      <w:pPr>
        <w:pStyle w:val="Overskrift4"/>
      </w:pPr>
      <w:r>
        <w:t>Test</w:t>
      </w:r>
    </w:p>
    <w:p w:rsidR="00552FE9" w:rsidRPr="00552FE9" w:rsidRDefault="00552FE9" w:rsidP="00552FE9">
      <w:r>
        <w:t>Der henvises til Fast Lane integrationstest.</w:t>
      </w:r>
      <w:bookmarkStart w:id="0" w:name="_GoBack"/>
      <w:bookmarkEnd w:id="0"/>
    </w:p>
    <w:p w:rsidR="00CB0079" w:rsidRPr="00CB0079" w:rsidRDefault="00CB0079" w:rsidP="00CB0079"/>
    <w:p w:rsidR="00CB0079" w:rsidRDefault="00CB0079" w:rsidP="00CB0079"/>
    <w:p w:rsidR="00CB0079" w:rsidRDefault="00CB0079" w:rsidP="00CB0079"/>
    <w:p w:rsidR="00CB0079" w:rsidRPr="00CB0079" w:rsidRDefault="00CB0079" w:rsidP="00CB0079"/>
    <w:sectPr w:rsidR="00CB0079" w:rsidRPr="00CB007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CE3" w:rsidRDefault="003F5CE3" w:rsidP="00DB71F2">
      <w:pPr>
        <w:spacing w:after="0" w:line="240" w:lineRule="auto"/>
      </w:pPr>
      <w:r>
        <w:separator/>
      </w:r>
    </w:p>
  </w:endnote>
  <w:endnote w:type="continuationSeparator" w:id="0">
    <w:p w:rsidR="003F5CE3" w:rsidRDefault="003F5CE3" w:rsidP="00DB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CE3" w:rsidRDefault="003F5CE3" w:rsidP="00DB71F2">
      <w:pPr>
        <w:spacing w:after="0" w:line="240" w:lineRule="auto"/>
      </w:pPr>
      <w:r>
        <w:separator/>
      </w:r>
    </w:p>
  </w:footnote>
  <w:footnote w:type="continuationSeparator" w:id="0">
    <w:p w:rsidR="003F5CE3" w:rsidRDefault="003F5CE3" w:rsidP="00DB71F2">
      <w:pPr>
        <w:spacing w:after="0" w:line="240" w:lineRule="auto"/>
      </w:pPr>
      <w:r>
        <w:continuationSeparator/>
      </w:r>
    </w:p>
  </w:footnote>
  <w:footnote w:id="1">
    <w:p w:rsidR="00DB71F2" w:rsidRDefault="00DB71F2">
      <w:pPr>
        <w:pStyle w:val="Fodnotetekst"/>
      </w:pPr>
      <w:r>
        <w:rPr>
          <w:rStyle w:val="Fodnotehenvisning"/>
        </w:rPr>
        <w:footnoteRef/>
      </w:r>
      <w:r>
        <w:t xml:space="preserve"> </w:t>
      </w:r>
      <w:r w:rsidRPr="00DB71F2">
        <w:rPr>
          <w:color w:val="FF0000"/>
        </w:rPr>
        <w:t>Se Receiver s. XXX</w:t>
      </w:r>
      <w:r>
        <w:t xml:space="preserve"> </w:t>
      </w:r>
    </w:p>
  </w:footnote>
  <w:footnote w:id="2">
    <w:p w:rsidR="00BE66C4" w:rsidRDefault="00BE66C4">
      <w:pPr>
        <w:pStyle w:val="Fodnotetekst"/>
      </w:pPr>
      <w:r>
        <w:rPr>
          <w:rStyle w:val="Fodnotehenvisning"/>
        </w:rPr>
        <w:footnoteRef/>
      </w:r>
      <w:r>
        <w:t xml:space="preserve"> </w:t>
      </w:r>
      <w:r w:rsidRPr="00BE66C4">
        <w:rPr>
          <w:color w:val="FF0000"/>
        </w:rPr>
        <w:t>Se MappingScheme s. XXX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79"/>
    <w:rsid w:val="00000EEB"/>
    <w:rsid w:val="0000101B"/>
    <w:rsid w:val="000103BD"/>
    <w:rsid w:val="000335D6"/>
    <w:rsid w:val="0003392F"/>
    <w:rsid w:val="00042FCC"/>
    <w:rsid w:val="0007007D"/>
    <w:rsid w:val="00070740"/>
    <w:rsid w:val="000935EB"/>
    <w:rsid w:val="0009365C"/>
    <w:rsid w:val="0009553E"/>
    <w:rsid w:val="00097B27"/>
    <w:rsid w:val="000A2AFA"/>
    <w:rsid w:val="000A6693"/>
    <w:rsid w:val="000B3B66"/>
    <w:rsid w:val="000C382D"/>
    <w:rsid w:val="000D1457"/>
    <w:rsid w:val="000F4F5A"/>
    <w:rsid w:val="00155E93"/>
    <w:rsid w:val="001601E1"/>
    <w:rsid w:val="00166631"/>
    <w:rsid w:val="00166850"/>
    <w:rsid w:val="001906A4"/>
    <w:rsid w:val="001A2776"/>
    <w:rsid w:val="001B19E7"/>
    <w:rsid w:val="001C53C6"/>
    <w:rsid w:val="001E11D0"/>
    <w:rsid w:val="001E206B"/>
    <w:rsid w:val="002208F0"/>
    <w:rsid w:val="00234E2C"/>
    <w:rsid w:val="002509AD"/>
    <w:rsid w:val="00256427"/>
    <w:rsid w:val="00262FE9"/>
    <w:rsid w:val="00267FEE"/>
    <w:rsid w:val="002964B5"/>
    <w:rsid w:val="002C4C6F"/>
    <w:rsid w:val="002E11E9"/>
    <w:rsid w:val="00313C2C"/>
    <w:rsid w:val="003154AF"/>
    <w:rsid w:val="003225E8"/>
    <w:rsid w:val="00332638"/>
    <w:rsid w:val="00362414"/>
    <w:rsid w:val="00374E71"/>
    <w:rsid w:val="003841EB"/>
    <w:rsid w:val="003A431D"/>
    <w:rsid w:val="003B4B5D"/>
    <w:rsid w:val="003D026D"/>
    <w:rsid w:val="003D28E6"/>
    <w:rsid w:val="003D53B9"/>
    <w:rsid w:val="003E0162"/>
    <w:rsid w:val="003F5CE3"/>
    <w:rsid w:val="00410004"/>
    <w:rsid w:val="00417FFA"/>
    <w:rsid w:val="0042463D"/>
    <w:rsid w:val="00425397"/>
    <w:rsid w:val="00425C04"/>
    <w:rsid w:val="00430B2F"/>
    <w:rsid w:val="00455F13"/>
    <w:rsid w:val="004765A4"/>
    <w:rsid w:val="004A7D77"/>
    <w:rsid w:val="004B1771"/>
    <w:rsid w:val="004B2061"/>
    <w:rsid w:val="004B38A6"/>
    <w:rsid w:val="004C204C"/>
    <w:rsid w:val="004D4A8A"/>
    <w:rsid w:val="004E1427"/>
    <w:rsid w:val="004E54C6"/>
    <w:rsid w:val="00531CF1"/>
    <w:rsid w:val="0054609B"/>
    <w:rsid w:val="00552FE9"/>
    <w:rsid w:val="00597116"/>
    <w:rsid w:val="005B19D9"/>
    <w:rsid w:val="005C0781"/>
    <w:rsid w:val="005C5329"/>
    <w:rsid w:val="00605786"/>
    <w:rsid w:val="0065235D"/>
    <w:rsid w:val="0066493A"/>
    <w:rsid w:val="00666D20"/>
    <w:rsid w:val="00675B48"/>
    <w:rsid w:val="00681CF7"/>
    <w:rsid w:val="00697538"/>
    <w:rsid w:val="006D4FE7"/>
    <w:rsid w:val="006E646E"/>
    <w:rsid w:val="006F03CE"/>
    <w:rsid w:val="007162F6"/>
    <w:rsid w:val="00725104"/>
    <w:rsid w:val="00741ECD"/>
    <w:rsid w:val="0075155F"/>
    <w:rsid w:val="00781CD2"/>
    <w:rsid w:val="00783960"/>
    <w:rsid w:val="00792C16"/>
    <w:rsid w:val="00795688"/>
    <w:rsid w:val="00797093"/>
    <w:rsid w:val="007D1AFC"/>
    <w:rsid w:val="007F676E"/>
    <w:rsid w:val="00804A9E"/>
    <w:rsid w:val="00805FD3"/>
    <w:rsid w:val="0081053F"/>
    <w:rsid w:val="008126F8"/>
    <w:rsid w:val="008250D5"/>
    <w:rsid w:val="008474B9"/>
    <w:rsid w:val="00855584"/>
    <w:rsid w:val="00861F8F"/>
    <w:rsid w:val="0089220B"/>
    <w:rsid w:val="008B1CD5"/>
    <w:rsid w:val="008B1D54"/>
    <w:rsid w:val="008B7286"/>
    <w:rsid w:val="008C4B7D"/>
    <w:rsid w:val="008E0FB2"/>
    <w:rsid w:val="00901A15"/>
    <w:rsid w:val="00901BFA"/>
    <w:rsid w:val="00902E1D"/>
    <w:rsid w:val="00923331"/>
    <w:rsid w:val="00932797"/>
    <w:rsid w:val="00942BD0"/>
    <w:rsid w:val="0095248D"/>
    <w:rsid w:val="0096376A"/>
    <w:rsid w:val="009677B8"/>
    <w:rsid w:val="00972119"/>
    <w:rsid w:val="009E6E82"/>
    <w:rsid w:val="00A01AC1"/>
    <w:rsid w:val="00A0445A"/>
    <w:rsid w:val="00A24927"/>
    <w:rsid w:val="00A24CEE"/>
    <w:rsid w:val="00A4155B"/>
    <w:rsid w:val="00A46E46"/>
    <w:rsid w:val="00A4730B"/>
    <w:rsid w:val="00A5326A"/>
    <w:rsid w:val="00A742B2"/>
    <w:rsid w:val="00A872F0"/>
    <w:rsid w:val="00AB3A0A"/>
    <w:rsid w:val="00AE4E24"/>
    <w:rsid w:val="00B06046"/>
    <w:rsid w:val="00B26805"/>
    <w:rsid w:val="00B51E80"/>
    <w:rsid w:val="00B65881"/>
    <w:rsid w:val="00B73C31"/>
    <w:rsid w:val="00B80DB8"/>
    <w:rsid w:val="00BA4CAF"/>
    <w:rsid w:val="00BA76FB"/>
    <w:rsid w:val="00BA7A78"/>
    <w:rsid w:val="00BB3DB7"/>
    <w:rsid w:val="00BB5F6B"/>
    <w:rsid w:val="00BC030D"/>
    <w:rsid w:val="00BC4010"/>
    <w:rsid w:val="00BD2466"/>
    <w:rsid w:val="00BE66C4"/>
    <w:rsid w:val="00BF32FC"/>
    <w:rsid w:val="00C10B8E"/>
    <w:rsid w:val="00C15125"/>
    <w:rsid w:val="00C24118"/>
    <w:rsid w:val="00C24FA6"/>
    <w:rsid w:val="00C3363E"/>
    <w:rsid w:val="00C348EE"/>
    <w:rsid w:val="00C50391"/>
    <w:rsid w:val="00C85265"/>
    <w:rsid w:val="00C94F92"/>
    <w:rsid w:val="00CB0079"/>
    <w:rsid w:val="00CB653C"/>
    <w:rsid w:val="00DB32FC"/>
    <w:rsid w:val="00DB3532"/>
    <w:rsid w:val="00DB71F2"/>
    <w:rsid w:val="00DC7EDF"/>
    <w:rsid w:val="00DD2B08"/>
    <w:rsid w:val="00DD7799"/>
    <w:rsid w:val="00DE65E1"/>
    <w:rsid w:val="00DE6A0A"/>
    <w:rsid w:val="00DF09C7"/>
    <w:rsid w:val="00DF33D0"/>
    <w:rsid w:val="00E277A6"/>
    <w:rsid w:val="00E374E7"/>
    <w:rsid w:val="00E45C07"/>
    <w:rsid w:val="00E569F3"/>
    <w:rsid w:val="00E60C08"/>
    <w:rsid w:val="00E822FE"/>
    <w:rsid w:val="00E8505F"/>
    <w:rsid w:val="00E91B42"/>
    <w:rsid w:val="00EA3185"/>
    <w:rsid w:val="00EC0561"/>
    <w:rsid w:val="00EE15B7"/>
    <w:rsid w:val="00EF2BE5"/>
    <w:rsid w:val="00F06BF2"/>
    <w:rsid w:val="00F243D4"/>
    <w:rsid w:val="00F5251F"/>
    <w:rsid w:val="00F53A4F"/>
    <w:rsid w:val="00F644B2"/>
    <w:rsid w:val="00F7268F"/>
    <w:rsid w:val="00F82F64"/>
    <w:rsid w:val="00F95FA8"/>
    <w:rsid w:val="00FB2CEB"/>
    <w:rsid w:val="00FC3342"/>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A7FAA-DF69-4063-BFE1-65C126CB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CB0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B00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B00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B4B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B007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B007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CB007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3B4B5D"/>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DB71F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B71F2"/>
    <w:rPr>
      <w:sz w:val="20"/>
      <w:szCs w:val="20"/>
    </w:rPr>
  </w:style>
  <w:style w:type="character" w:styleId="Fodnotehenvisning">
    <w:name w:val="footnote reference"/>
    <w:basedOn w:val="Standardskrifttypeiafsnit"/>
    <w:uiPriority w:val="99"/>
    <w:semiHidden/>
    <w:unhideWhenUsed/>
    <w:rsid w:val="00DB71F2"/>
    <w:rPr>
      <w:vertAlign w:val="superscript"/>
    </w:rPr>
  </w:style>
  <w:style w:type="table" w:styleId="Tabel-Gitter">
    <w:name w:val="Table Grid"/>
    <w:basedOn w:val="Tabel-Normal"/>
    <w:uiPriority w:val="39"/>
    <w:rsid w:val="00BE6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5661-DE73-41E9-B523-3CC909FE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397</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11</cp:revision>
  <dcterms:created xsi:type="dcterms:W3CDTF">2014-12-12T09:31:00Z</dcterms:created>
  <dcterms:modified xsi:type="dcterms:W3CDTF">2014-12-15T13:54:00Z</dcterms:modified>
</cp:coreProperties>
</file>