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/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11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января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2016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/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/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/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/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