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drawing>
          <wp:inline xmlns:a="http://schemas.openxmlformats.org/drawingml/2006/main" xmlns:pic="http://schemas.openxmlformats.org/drawingml/2006/picture">
            <wp:extent cx="1188720" cy="1057023"/>
            <wp:docPr id="1" name="Picture 1"/>
            <wp:cNvGraphicFramePr>
              <a:graphicFrameLocks noChangeAspect="1"/>
            </wp:cNvGraphicFramePr>
            <a:graphic>
              <a:graphicData uri="http://schemas.openxmlformats.org/drawingml/2006/picture">
                <pic:pic>
                  <pic:nvPicPr>
                    <pic:cNvPr id="0" name="mist_logo_cropped.png"/>
                    <pic:cNvPicPr/>
                  </pic:nvPicPr>
                  <pic:blipFill>
                    <a:blip r:embed="rId9"/>
                    <a:stretch>
                      <a:fillRect/>
                    </a:stretch>
                  </pic:blipFill>
                  <pic:spPr>
                    <a:xfrm>
                      <a:off x="0" y="0"/>
                      <a:ext cx="1188720" cy="1057023"/>
                    </a:xfrm>
                    <a:prstGeom prst="rect"/>
                  </pic:spPr>
                </pic:pic>
              </a:graphicData>
            </a:graphic>
          </wp:inline>
        </w:drawing>
      </w:r>
    </w:p>
    <w:p>
      <w:pPr>
        <w:spacing w:before="0" w:after="40"/>
        <w:jc w:val="center"/>
      </w:pPr>
      <w:r>
        <w:rPr>
          <w:rFonts w:ascii="Times New Roman" w:hAnsi="Times New Roman"/>
          <w:b/>
          <w:i w:val="0"/>
          <w:sz w:val="28"/>
        </w:rPr>
        <w:t>Military Institute of Science and Technology</w:t>
      </w:r>
    </w:p>
    <w:p>
      <w:pPr>
        <w:spacing w:before="0" w:after="560"/>
        <w:jc w:val="center"/>
      </w:pPr>
      <w:r>
        <w:rPr>
          <w:rFonts w:ascii="Times New Roman" w:hAnsi="Times New Roman"/>
          <w:b w:val="0"/>
          <w:i w:val="0"/>
          <w:sz w:val="22"/>
        </w:rPr>
        <w:t>Department of Computer Science and Engineering</w:t>
      </w:r>
    </w:p>
    <w:p>
      <w:pPr>
        <w:spacing w:before="0" w:after="40"/>
        <w:jc w:val="center"/>
      </w:pPr>
      <w:r>
        <w:rPr>
          <w:rFonts w:ascii="Times New Roman" w:hAnsi="Times New Roman"/>
          <w:b w:val="0"/>
          <w:i w:val="0"/>
          <w:sz w:val="22"/>
        </w:rPr>
        <w:t>CSE-307: Operating Systems</w:t>
      </w:r>
    </w:p>
    <w:p>
      <w:pPr>
        <w:spacing w:before="0" w:after="560"/>
        <w:jc w:val="center"/>
      </w:pPr>
      <w:r>
        <w:rPr>
          <w:rFonts w:ascii="Times New Roman" w:hAnsi="Times New Roman"/>
          <w:b w:val="0"/>
          <w:i w:val="0"/>
          <w:sz w:val="22"/>
        </w:rPr>
        <w:t>TERM PAPER - PART B, TRACK 1</w:t>
      </w:r>
    </w:p>
    <w:p>
      <w:pPr>
        <w:spacing w:before="0" w:after="120"/>
        <w:jc w:val="center"/>
      </w:pPr>
      <w:r>
        <w:rPr>
          <w:rFonts w:ascii="Times New Roman" w:hAnsi="Times New Roman"/>
          <w:b/>
          <w:sz w:val="44"/>
        </w:rPr>
        <w:t>Page Replacement under a</w:t>
        <w:br/>
        <w:t>Changing Access Pattern</w:t>
      </w:r>
    </w:p>
    <w:p>
      <w:pPr>
        <w:spacing w:before="0" w:after="600"/>
        <w:jc w:val="center"/>
      </w:pPr>
      <w:r>
        <w:rPr>
          <w:rFonts w:ascii="Times New Roman" w:hAnsi="Times New Roman"/>
          <w:b w:val="0"/>
          <w:i w:val="0"/>
          <w:sz w:val="22"/>
        </w:rPr>
        <w:t>A Comparison of FIFO, LRU, Optimal,</w:t>
        <w:br/>
        <w:t>and a Simple Learned Policy</w:t>
      </w:r>
    </w:p>
    <w:tbl>
      <w:tblPr>
        <w:tblStyle w:val="TableGrid"/>
        <w:tblW w:type="auto" w:w="0"/>
        <w:jc w:val="center"/>
        <w:tblLook w:firstColumn="1" w:firstRow="1" w:lastColumn="0" w:lastRow="0" w:noHBand="0" w:noVBand="1" w:val="04A0"/>
      </w:tblPr>
      <w:tblGrid>
        <w:gridCol w:w="4680"/>
        <w:gridCol w:w="4680"/>
      </w:tblGrid>
      <w:tr>
        <w:tc>
          <w:tcPr>
            <w:tcW w:type="dxa" w:w="2592"/>
            <w:tcMar>
              <w:top w:w="60" w:type="dxa"/>
              <w:bottom w:w="60" w:type="dxa"/>
              <w:left w:w="100" w:type="dxa"/>
              <w:right w:w="100" w:type="dxa"/>
            </w:tcMar>
          </w:tcPr>
          <w:p>
            <w:r>
              <w:rPr>
                <w:rFonts w:ascii="Times New Roman" w:hAnsi="Times New Roman"/>
                <w:sz w:val="20"/>
              </w:rPr>
              <w:t>Submitted by</w:t>
            </w:r>
          </w:p>
        </w:tc>
        <w:tc>
          <w:tcPr>
            <w:tcW w:type="dxa" w:w="5760"/>
            <w:tcMar>
              <w:top w:w="60" w:type="dxa"/>
              <w:bottom w:w="60" w:type="dxa"/>
              <w:left w:w="100" w:type="dxa"/>
              <w:right w:w="100" w:type="dxa"/>
            </w:tcMar>
          </w:tcPr>
          <w:p>
            <w:r>
              <w:rPr>
                <w:rFonts w:ascii="Times New Roman" w:hAnsi="Times New Roman"/>
                <w:sz w:val="20"/>
              </w:rPr>
              <w:t>Zubaer Islam Rafi</w:t>
            </w:r>
          </w:p>
        </w:tc>
      </w:tr>
      <w:tr>
        <w:tc>
          <w:tcPr>
            <w:tcW w:type="dxa" w:w="2592"/>
            <w:tcMar>
              <w:top w:w="60" w:type="dxa"/>
              <w:bottom w:w="60" w:type="dxa"/>
              <w:left w:w="100" w:type="dxa"/>
              <w:right w:w="100" w:type="dxa"/>
            </w:tcMar>
          </w:tcPr>
          <w:p>
            <w:r>
              <w:rPr>
                <w:rFonts w:ascii="Times New Roman" w:hAnsi="Times New Roman"/>
                <w:sz w:val="20"/>
              </w:rPr>
              <w:t>Student ID</w:t>
            </w:r>
          </w:p>
        </w:tc>
        <w:tc>
          <w:tcPr>
            <w:tcW w:type="dxa" w:w="5760"/>
            <w:tcMar>
              <w:top w:w="60" w:type="dxa"/>
              <w:bottom w:w="60" w:type="dxa"/>
              <w:left w:w="100" w:type="dxa"/>
              <w:right w:w="100" w:type="dxa"/>
            </w:tcMar>
          </w:tcPr>
          <w:p>
            <w:r>
              <w:rPr>
                <w:rFonts w:ascii="Times New Roman" w:hAnsi="Times New Roman"/>
                <w:sz w:val="20"/>
              </w:rPr>
              <w:t>202414022</w:t>
            </w:r>
          </w:p>
        </w:tc>
      </w:tr>
      <w:tr>
        <w:tc>
          <w:tcPr>
            <w:tcW w:type="dxa" w:w="2592"/>
            <w:tcMar>
              <w:top w:w="60" w:type="dxa"/>
              <w:bottom w:w="60" w:type="dxa"/>
              <w:left w:w="100" w:type="dxa"/>
              <w:right w:w="100" w:type="dxa"/>
            </w:tcMar>
          </w:tcPr>
          <w:p>
            <w:r>
              <w:rPr>
                <w:rFonts w:ascii="Times New Roman" w:hAnsi="Times New Roman"/>
                <w:sz w:val="20"/>
              </w:rPr>
              <w:t>Section</w:t>
            </w:r>
          </w:p>
        </w:tc>
        <w:tc>
          <w:tcPr>
            <w:tcW w:type="dxa" w:w="5760"/>
            <w:tcMar>
              <w:top w:w="60" w:type="dxa"/>
              <w:bottom w:w="60" w:type="dxa"/>
              <w:left w:w="100" w:type="dxa"/>
              <w:right w:w="100" w:type="dxa"/>
            </w:tcMar>
          </w:tcPr>
          <w:p>
            <w:r>
              <w:rPr>
                <w:rFonts w:ascii="Times New Roman" w:hAnsi="Times New Roman"/>
                <w:sz w:val="20"/>
              </w:rPr>
              <w:t>A</w:t>
            </w:r>
          </w:p>
        </w:tc>
      </w:tr>
      <w:tr>
        <w:tc>
          <w:tcPr>
            <w:tcW w:type="dxa" w:w="2592"/>
            <w:tcMar>
              <w:top w:w="60" w:type="dxa"/>
              <w:bottom w:w="60" w:type="dxa"/>
              <w:left w:w="100" w:type="dxa"/>
              <w:right w:w="100" w:type="dxa"/>
            </w:tcMar>
          </w:tcPr>
          <w:p>
            <w:r>
              <w:rPr>
                <w:rFonts w:ascii="Times New Roman" w:hAnsi="Times New Roman"/>
                <w:sz w:val="20"/>
              </w:rPr>
              <w:t>Level and term</w:t>
            </w:r>
          </w:p>
        </w:tc>
        <w:tc>
          <w:tcPr>
            <w:tcW w:type="dxa" w:w="5760"/>
            <w:tcMar>
              <w:top w:w="60" w:type="dxa"/>
              <w:bottom w:w="60" w:type="dxa"/>
              <w:left w:w="100" w:type="dxa"/>
              <w:right w:w="100" w:type="dxa"/>
            </w:tcMar>
          </w:tcPr>
          <w:p>
            <w:r>
              <w:rPr>
                <w:rFonts w:ascii="Times New Roman" w:hAnsi="Times New Roman"/>
                <w:sz w:val="20"/>
              </w:rPr>
              <w:t>Level 3, Term 1</w:t>
            </w:r>
          </w:p>
        </w:tc>
      </w:tr>
      <w:tr>
        <w:tc>
          <w:tcPr>
            <w:tcW w:type="dxa" w:w="2592"/>
            <w:tcMar>
              <w:top w:w="60" w:type="dxa"/>
              <w:bottom w:w="60" w:type="dxa"/>
              <w:left w:w="100" w:type="dxa"/>
              <w:right w:w="100" w:type="dxa"/>
            </w:tcMar>
          </w:tcPr>
          <w:p>
            <w:r>
              <w:rPr>
                <w:rFonts w:ascii="Times New Roman" w:hAnsi="Times New Roman"/>
                <w:sz w:val="20"/>
              </w:rPr>
              <w:t>Submitted to</w:t>
            </w:r>
          </w:p>
        </w:tc>
        <w:tc>
          <w:tcPr>
            <w:tcW w:type="dxa" w:w="5760"/>
            <w:tcMar>
              <w:top w:w="60" w:type="dxa"/>
              <w:bottom w:w="60" w:type="dxa"/>
              <w:left w:w="100" w:type="dxa"/>
              <w:right w:w="100" w:type="dxa"/>
            </w:tcMar>
          </w:tcPr>
          <w:p>
            <w:r>
              <w:rPr>
                <w:rFonts w:ascii="Times New Roman" w:hAnsi="Times New Roman"/>
                <w:sz w:val="20"/>
              </w:rPr>
              <w:t>Lecturer Khaled Hasan Irfan</w:t>
            </w:r>
          </w:p>
        </w:tc>
      </w:tr>
      <w:tr>
        <w:tc>
          <w:tcPr>
            <w:tcW w:type="dxa" w:w="2592"/>
            <w:tcMar>
              <w:top w:w="60" w:type="dxa"/>
              <w:bottom w:w="60" w:type="dxa"/>
              <w:left w:w="100" w:type="dxa"/>
              <w:right w:w="100" w:type="dxa"/>
            </w:tcMar>
          </w:tcPr>
          <w:p>
            <w:r>
              <w:rPr>
                <w:rFonts w:ascii="Times New Roman" w:hAnsi="Times New Roman"/>
                <w:sz w:val="20"/>
              </w:rPr>
              <w:t>Submission date</w:t>
            </w:r>
          </w:p>
        </w:tc>
        <w:tc>
          <w:tcPr>
            <w:tcW w:type="dxa" w:w="5760"/>
            <w:tcMar>
              <w:top w:w="60" w:type="dxa"/>
              <w:bottom w:w="60" w:type="dxa"/>
              <w:left w:w="100" w:type="dxa"/>
              <w:right w:w="100" w:type="dxa"/>
            </w:tcMar>
          </w:tcPr>
          <w:p>
            <w:r>
              <w:rPr>
                <w:rFonts w:ascii="Times New Roman" w:hAnsi="Times New Roman"/>
                <w:sz w:val="20"/>
              </w:rPr>
              <w:t>3 October 2026</w:t>
            </w:r>
          </w:p>
        </w:tc>
      </w:tr>
    </w:tbl>
    <w:p>
      <w:r>
        <w:br w:type="page"/>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pPr>
              <w:spacing w:after="80"/>
            </w:pPr>
            <w:r>
              <w:rPr>
                <w:b/>
              </w:rPr>
              <w:t xml:space="preserve">Abstract— </w:t>
            </w:r>
            <w:r>
              <w:t>Virtual memory management relies on page-replacement algorithms to arbitrate physical page frame allocation. While classical heuristics such as First-In First-Out (FIFO) and Least Recently Used (LRU) rely on static assumptions about reference locality, real-world workloads frequently experience sudden phase transitions and working-set drift. This paper investigates learning-augmented operating system heuristics by comparing FIFO, LRU, and Belady’s theoretical Optimal policy against an online adaptive Decision Tree classifier. Using a controlled 2,000-reference synthetic workload with an abrupt distribution shift at reference 1,000, we evaluate policy adaptability, page fault rates, and hit ratios before and after the shift. All policies are evaluated against an identical workload to maintain experimental validity. Our empirical results demonstrate that while Belady’s Optimal achieves an offline theoretical lower bound of 678 page faults (0.661 hit ratio) and LRU achieves 1,011 faults (0.495 hit ratio), the lightweight learned policy records 1,075 faults (0.463 hit ratio) across the full trace. We analyze the mechanisms preventing future-information leakage during online training, examine the degradation and recovery dynamics of periodic retraining, and discuss the architectural trade-offs of embedding machine learning primitives within kernel-level memory management.</w:t>
            </w:r>
          </w:p>
          <w:p>
            <w:pPr>
              <w:spacing w:after="0"/>
            </w:pPr>
            <w:r>
              <w:rPr>
                <w:b/>
              </w:rPr>
              <w:t xml:space="preserve">Keywords: </w:t>
            </w:r>
            <w:r>
              <w:t>Operating Systems, Virtual Memory, Page Replacement, Belady's Optimal, LRU, Machine Learning, Online Adaptation, Distribution Shift.</w:t>
            </w:r>
          </w:p>
        </w:tc>
      </w:tr>
    </w:tbl>
    <w:p>
      <w:pPr>
        <w:spacing w:after="120"/>
      </w:pPr>
    </w:p>
    <w:p>
      <w:pPr>
        <w:pStyle w:val="Heading1"/>
        <w:keepNext/>
        <w:spacing w:before="280" w:after="80"/>
      </w:pPr>
      <w:r>
        <w:rPr>
          <w:rFonts w:ascii="Times New Roman" w:hAnsi="Times New Roman"/>
          <w:b/>
          <w:color w:val="111827"/>
          <w:sz w:val="26"/>
        </w:rPr>
        <w:t>1. Problem Framing &amp; Theoretical Foundations</w:t>
      </w:r>
    </w:p>
    <w:p>
      <w:r>
        <w:t>Virtual memory decouples a process's logical address space from physical random-access memory (DRAM), allowing concurrent execution of processes whose aggregate memory demands exceed physical frame capacity [7]. When a thread accesses a virtual page whose present bit in the page table entry (PTE) is clear, the Memory Management Unit (MMU) generates a page fault interrupt. The operating system kernel traps the fault, retrieves the missing page from secondary backing storage, and maps it into an available physical frame [7]. When all physical frames are occupied, the kernel must invoke a page-replacement policy to select a victim frame for eviction.</w:t>
      </w:r>
    </w:p>
    <w:p>
      <w:r>
        <w:t>Historically, page replacement policies have relied on stationary heuristics rooted in the principle of locality [2]. Temporal locality posits that memory locations accessed recently are likely to be accessed again in the near future; spatial locality posits that memory references tend to cluster within contiguous address ranges. However, program execution frequently undergoes non-stationary phase changes—such as moving from sequential data initialization to iterative graph traversals, or from a compact working set to bursty random accesses [2, 3]. Under such distribution shifts, static heuristics may suffer from severe performance degradation.</w:t>
      </w:r>
    </w:p>
    <w:p>
      <w:r>
        <w:t>Recent developments in learning-augmented algorithms demonstrate that classical discrete algorithms can be enhanced by incorporating predictive machine learning models [4, 5]. In page replacement, a learning-augmented heuristic attempts to approximate the optimal eviction decision based on observable historical access patterns [6]. The central research problem addressed in this term paper is: Can a lightweight, online-retrained decision tree policy effectively learn eviction decisions from historical metrics without future-information leakage, and how does its behavior compare with classical policies when subjected to an abrupt workload shift?</w:t>
      </w:r>
    </w:p>
    <w:p>
      <w:pPr>
        <w:pStyle w:val="Heading1"/>
        <w:keepNext/>
        <w:spacing w:before="280" w:after="80"/>
      </w:pPr>
      <w:r>
        <w:rPr>
          <w:rFonts w:ascii="Times New Roman" w:hAnsi="Times New Roman"/>
          <w:b/>
          <w:color w:val="111827"/>
          <w:sz w:val="26"/>
        </w:rPr>
        <w:t>2. Classical Replacement Policies &amp; Off-line Optimality</w:t>
      </w:r>
    </w:p>
    <w:p>
      <w:r>
        <w:t>We benchmark the adaptive learned policy against three foundational page replacement strategies:</w:t>
      </w:r>
    </w:p>
    <w:p>
      <w:pPr>
        <w:pStyle w:val="Heading2"/>
        <w:keepNext/>
        <w:spacing w:before="200" w:after="60"/>
      </w:pPr>
      <w:r>
        <w:rPr>
          <w:rFonts w:ascii="Times New Roman" w:hAnsi="Times New Roman"/>
          <w:b/>
          <w:color w:val="1F2937"/>
          <w:sz w:val="22"/>
        </w:rPr>
        <w:t>2.1 First-In, First-Out (FIFO)</w:t>
      </w:r>
    </w:p>
    <w:p>
      <w:r>
        <w:t>FIFO maintains a chronological queue of resident pages. When eviction is necessary, the page that has resided in physical memory the longest is selected as the victim, regardless of its recent access frequency or recency. FIFO requires minimal administrative overhead (O(1) pointer update) but suffers from Belady’s Anomaly, wherein allocating additional page frames can paradoxically increase total page faults for certain reference sequences [1].</w:t>
      </w:r>
    </w:p>
    <w:p>
      <w:pPr>
        <w:pStyle w:val="Heading2"/>
        <w:keepNext/>
        <w:spacing w:before="200" w:after="60"/>
      </w:pPr>
      <w:r>
        <w:rPr>
          <w:rFonts w:ascii="Times New Roman" w:hAnsi="Times New Roman"/>
          <w:b/>
          <w:color w:val="1F2937"/>
          <w:sz w:val="22"/>
        </w:rPr>
        <w:t>2.2 Least Recently Used (LRU)</w:t>
      </w:r>
    </w:p>
    <w:p>
      <w:r>
        <w:t>LRU replaces the page that has not been referenced for the longest duration, serving as the canonical realization of temporal locality [3]. When the reference string exhibits high locality, LRU closely tracks the active working set. However, maintaining true LRU requires hardware timestamping or linked-list manipulations on every reference, imposing non-trivial overhead that commercial OS kernels typically approximate using clock algorithms [7]. Furthermore, LRU remains vulnerable to cyclic reference sequences larger than the frame capacity and abrupt phase shifts.</w:t>
      </w:r>
    </w:p>
    <w:p>
      <w:pPr>
        <w:pStyle w:val="Heading2"/>
        <w:keepNext/>
        <w:spacing w:before="200" w:after="60"/>
      </w:pPr>
      <w:r>
        <w:rPr>
          <w:rFonts w:ascii="Times New Roman" w:hAnsi="Times New Roman"/>
          <w:b/>
          <w:color w:val="1F2937"/>
          <w:sz w:val="22"/>
        </w:rPr>
        <w:t>2.3 Belady’s Optimal Algorithm (MIN)</w:t>
      </w:r>
    </w:p>
    <w:p>
      <w:r>
        <w:t>Formulated by László Bélády in 1966 [1], the Optimal algorithm (often termed MIN or OPT) establishes the theoretical performance upper bound for any fixed frame allocation. Upon a page fault in a saturated frame set, Belady's algorithm evicts the page whose next access is farthest away in the future reference string. Pages that will never be referenced again receive infinite distance and are prioritized for immediate eviction. Because computing Belady's decision requires complete a priori knowledge of future memory requests, it cannot be deployed in an online general-purpose operating system. It serves exclusively as an offline theoretical benchmark [1, 7].</w:t>
      </w:r>
    </w:p>
    <w:p>
      <w:pPr>
        <w:pStyle w:val="Heading1"/>
        <w:keepNext/>
        <w:spacing w:before="280" w:after="80"/>
      </w:pPr>
      <w:r>
        <w:rPr>
          <w:rFonts w:ascii="Times New Roman" w:hAnsi="Times New Roman"/>
          <w:b/>
          <w:color w:val="111827"/>
          <w:sz w:val="26"/>
        </w:rPr>
        <w:t>3. Learning-Augmented Policy Architecture</w:t>
      </w:r>
    </w:p>
    <w:p>
      <w:r>
        <w:t>To build a viable learning-augmented policy that avoids artificial research complexity, we implement a lightweight decision model using DecisionTreeClassifier from scikit-learn.</w:t>
      </w:r>
    </w:p>
    <w:p>
      <w:pPr>
        <w:pStyle w:val="Heading2"/>
        <w:keepNext/>
        <w:spacing w:before="200" w:after="60"/>
      </w:pPr>
      <w:r>
        <w:rPr>
          <w:rFonts w:ascii="Times New Roman" w:hAnsi="Times New Roman"/>
          <w:b/>
          <w:color w:val="1F2937"/>
          <w:sz w:val="22"/>
        </w:rPr>
        <w:t>3.1 Feature Representation (Zero Future Leakage)</w:t>
      </w:r>
    </w:p>
    <w:p>
      <w:r>
        <w:t>To guarantee strict causality, our inference feature vector for resident page i at access t is computed exclusively from historical statistics:</w:t>
      </w:r>
    </w:p>
    <w:p>
      <w:pPr>
        <w:pStyle w:val="ListBullet"/>
        <w:spacing w:after="40"/>
      </w:pPr>
      <w:r>
        <w:rPr>
          <w:b/>
        </w:rPr>
        <w:t xml:space="preserve">Recency (R_i): </w:t>
      </w:r>
      <w:r>
        <w:t>Elapsed accesses since page i was last referenced: R_i(t) = t - last_used[i].</w:t>
      </w:r>
    </w:p>
    <w:p>
      <w:pPr>
        <w:pStyle w:val="ListBullet"/>
        <w:spacing w:after="40"/>
      </w:pPr>
      <w:r>
        <w:rPr>
          <w:b/>
        </w:rPr>
        <w:t xml:space="preserve">Recent Access Frequency (F_i,W): </w:t>
      </w:r>
      <w:r>
        <w:t>Number of times page i was accessed within a backward sliding window of W = 20 references.</w:t>
      </w:r>
    </w:p>
    <w:p>
      <w:pPr>
        <w:pStyle w:val="ListBullet"/>
        <w:spacing w:after="40"/>
      </w:pPr>
      <w:r>
        <w:rPr>
          <w:b/>
        </w:rPr>
        <w:t xml:space="preserve">Total Access Frequency (F_i,total): </w:t>
      </w:r>
      <w:r>
        <w:t>Cumulative access count of page i from the start of the trace up to access t.</w:t>
      </w:r>
    </w:p>
    <w:p>
      <w:pPr>
        <w:pStyle w:val="ListBullet"/>
        <w:spacing w:after="40"/>
      </w:pPr>
      <w:r>
        <w:rPr>
          <w:b/>
        </w:rPr>
        <w:t xml:space="preserve">Time in Memory (T_i): </w:t>
      </w:r>
      <w:r>
        <w:t>Elapsed references since page i was brought into the frame buffer: T_i(t) = t - loaded_at[i].</w:t>
      </w:r>
    </w:p>
    <w:p>
      <w:r>
        <w:t>No future reference information is accessible during feature generation.</w:t>
      </w:r>
    </w:p>
    <w:p>
      <w:pPr>
        <w:pStyle w:val="Heading2"/>
        <w:keepNext/>
        <w:spacing w:before="200" w:after="60"/>
      </w:pPr>
      <w:r>
        <w:rPr>
          <w:rFonts w:ascii="Times New Roman" w:hAnsi="Times New Roman"/>
          <w:b/>
          <w:color w:val="1F2937"/>
          <w:sz w:val="22"/>
        </w:rPr>
        <w:t>3.2 Supervision via Delayed Bounded Belady Labels</w:t>
      </w:r>
    </w:p>
    <w:p>
      <w:r>
        <w:t>Supervision requires identifying which resident frame should have been evicted. We construct training targets by applying a bounded Belady lookahead horizon of H = 50 references. For a fault occurring at reference t, the candidate page whose next access occurs farthest within [t+1, t+H] receives the eviction label y=1, while other resident pages receive y=0.</w:t>
      </w:r>
    </w:p>
    <w:p>
      <w:r>
        <w:t>Crucially, to preserve strict causal separation, training examples are held in a pending queue and are only committed to the training set at access t + H + 1, when the lookahead horizon has completely elapsed. Thus, future references serve solely to generate delayed historical training labels, never inference features.</w:t>
      </w:r>
    </w:p>
    <w:p>
      <w:pPr>
        <w:pStyle w:val="Heading2"/>
        <w:keepNext/>
        <w:spacing w:before="200" w:after="60"/>
      </w:pPr>
      <w:r>
        <w:rPr>
          <w:rFonts w:ascii="Times New Roman" w:hAnsi="Times New Roman"/>
          <w:b/>
          <w:color w:val="1F2937"/>
          <w:sz w:val="22"/>
        </w:rPr>
        <w:t>3.3 Warm-up and Periodic Retraining</w:t>
      </w:r>
    </w:p>
    <w:p>
      <w:r>
        <w:t>At initialization, the model lacks sufficient labeled data. We enforce an LRU-style warm-up fallback for the first 600 references (t &lt; 600). Once the warm-up threshold is crossed and at least 20 labeled instances with binary class diversity exist, the model trains an initial tree of constrained depth (max_depth=4). Subsequently, the policy retrains every Δt = 200 references on all accumulated historical examples, enabling online adaptation to evolving reference distributions. Over the 2,000-reference trace, the model executes 7 distinct retraining updates.</w:t>
      </w:r>
    </w:p>
    <w:p>
      <w:pPr>
        <w:pStyle w:val="Heading1"/>
        <w:keepNext/>
        <w:spacing w:before="280" w:after="80"/>
      </w:pPr>
      <w:r>
        <w:rPr>
          <w:rFonts w:ascii="Times New Roman" w:hAnsi="Times New Roman"/>
          <w:b/>
          <w:color w:val="111827"/>
          <w:sz w:val="26"/>
        </w:rPr>
        <w:t>4. Experimental Methodology &amp; Workload Design</w:t>
      </w:r>
    </w:p>
    <w:p>
      <w:r>
        <w:t>The experiment is implemented in Python 3 using NumPy, pandas, scikit-learn, and matplotlib. A fixed random seed of 42 is utilized.</w:t>
      </w:r>
    </w:p>
    <w:p>
      <w:pPr>
        <w:pStyle w:val="ListBullet"/>
        <w:spacing w:after="40"/>
      </w:pPr>
      <w:r>
        <w:rPr>
          <w:b/>
        </w:rPr>
        <w:t xml:space="preserve">Total Trace Length (N): </w:t>
      </w:r>
      <w:r>
        <w:t>2,000 page accesses.</w:t>
      </w:r>
    </w:p>
    <w:p>
      <w:pPr>
        <w:pStyle w:val="ListBullet"/>
        <w:spacing w:after="40"/>
      </w:pPr>
      <w:r>
        <w:rPr>
          <w:b/>
        </w:rPr>
        <w:t xml:space="preserve">Physical Frames (M): </w:t>
      </w:r>
      <w:r>
        <w:t>4 frames.</w:t>
      </w:r>
    </w:p>
    <w:p>
      <w:pPr>
        <w:pStyle w:val="ListBullet"/>
        <w:spacing w:after="40"/>
      </w:pPr>
      <w:r>
        <w:rPr>
          <w:b/>
        </w:rPr>
        <w:t xml:space="preserve">Unique Virtual Pages (P): </w:t>
      </w:r>
      <w:r>
        <w:t>20 distinct pages ({1, 2, ..., 20}).</w:t>
      </w:r>
    </w:p>
    <w:p>
      <w:pPr>
        <w:pStyle w:val="ListBullet"/>
        <w:spacing w:after="40"/>
      </w:pPr>
      <w:r>
        <w:rPr>
          <w:b/>
        </w:rPr>
        <w:t xml:space="preserve">Distribution Shift Index (S): </w:t>
      </w:r>
      <w:r>
        <w:t>Reference 1,000.</w:t>
      </w:r>
    </w:p>
    <w:p>
      <w:pPr>
        <w:pStyle w:val="Heading2"/>
        <w:keepNext/>
        <w:spacing w:before="200" w:after="60"/>
      </w:pPr>
      <w:r>
        <w:rPr>
          <w:rFonts w:ascii="Times New Roman" w:hAnsi="Times New Roman"/>
          <w:b/>
          <w:color w:val="1F2937"/>
          <w:sz w:val="22"/>
        </w:rPr>
        <w:t>4.1 Phase 1 — Locality-Heavy Workload (References 0 to 999)</w:t>
      </w:r>
    </w:p>
    <w:p>
      <w:r>
        <w:t>Phase 1 simulates a stable process working set [2]. Pages {1, 2, 3, 4, 5} constitute the primary working set, accounting for 80% of all generated accesses. The remaining 20% of accesses randomly select from pages {6, ..., 20}, simulating occasional background tasks or non-local data scans. Because the active working set (5 pages) exceeds physical frame capacity (4 frames), persistent frame contention occurs.</w:t>
      </w:r>
    </w:p>
    <w:p>
      <w:pPr>
        <w:pStyle w:val="Heading2"/>
        <w:keepNext/>
        <w:spacing w:before="200" w:after="60"/>
      </w:pPr>
      <w:r>
        <w:rPr>
          <w:rFonts w:ascii="Times New Roman" w:hAnsi="Times New Roman"/>
          <w:b/>
          <w:color w:val="1F2937"/>
          <w:sz w:val="22"/>
        </w:rPr>
        <w:t>4.2 Phase 2 — Shifted Bursty Workload (References 1,000 to 1,999)</w:t>
      </w:r>
    </w:p>
    <w:p>
      <w:r>
        <w:t>At reference 1,000, the access pattern shifts abruptly. References are drawn broadly across all 20 pages. To introduce non-stationary temporal dynamics without creating uniform noise, short burst sequences are interspersed: with probability p=0.22, a randomly chosen page enters a burst mode where it is repeatedly accessed for 3 to 7 consecutive references with 75% probability.</w:t>
      </w:r>
    </w:p>
    <w:p>
      <w:pPr>
        <w:pStyle w:val="Heading1"/>
        <w:keepNext/>
        <w:spacing w:before="280" w:after="80"/>
      </w:pPr>
      <w:r>
        <w:rPr>
          <w:rFonts w:ascii="Times New Roman" w:hAnsi="Times New Roman"/>
          <w:b/>
          <w:color w:val="111827"/>
          <w:sz w:val="26"/>
        </w:rPr>
        <w:t>5. Empirical Results &amp; Comparative Analysis</w:t>
      </w:r>
    </w:p>
    <w:p>
      <w:r>
        <w:t>Table 1 summarizes the empirical performance of all four page replacement policies across the three evaluation intervals.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170"/>
        <w:gridCol w:w="1170"/>
        <w:gridCol w:w="1170"/>
        <w:gridCol w:w="1170"/>
        <w:gridCol w:w="1170"/>
        <w:gridCol w:w="1170"/>
        <w:gridCol w:w="1170"/>
        <w:gridCol w:w="1170"/>
      </w:tblGrid>
      <w:tr>
        <w:tc>
          <w:tcPr>
            <w:tcW w:type="dxa" w:w="1170"/>
            <w:shd w:fill="E2E8F0"/>
            <w:tcMar>
              <w:top w:w="80" w:type="dxa"/>
              <w:bottom w:w="80" w:type="dxa"/>
              <w:left w:w="120" w:type="dxa"/>
              <w:right w:w="120" w:type="dxa"/>
            </w:tcMar>
          </w:tcPr>
          <w:p>
            <w:pPr>
              <w:spacing w:after="40" w:before="40"/>
              <w:jc w:val="left"/>
            </w:pPr>
            <w:r>
              <w:rPr>
                <w:b/>
                <w:sz w:val="19"/>
              </w:rPr>
              <w:t>Algorithm</w:t>
            </w:r>
          </w:p>
        </w:tc>
        <w:tc>
          <w:tcPr>
            <w:tcW w:type="dxa" w:w="1170"/>
            <w:shd w:fill="E2E8F0"/>
            <w:tcMar>
              <w:top w:w="80" w:type="dxa"/>
              <w:bottom w:w="80" w:type="dxa"/>
              <w:left w:w="120" w:type="dxa"/>
              <w:right w:w="120" w:type="dxa"/>
            </w:tcMar>
          </w:tcPr>
          <w:p>
            <w:pPr>
              <w:spacing w:after="40" w:before="40"/>
              <w:jc w:val="center"/>
            </w:pPr>
            <w:r>
              <w:rPr>
                <w:b/>
                <w:sz w:val="19"/>
              </w:rPr>
              <w:t>Before Faults</w:t>
            </w:r>
          </w:p>
        </w:tc>
        <w:tc>
          <w:tcPr>
            <w:tcW w:type="dxa" w:w="1170"/>
            <w:shd w:fill="E2E8F0"/>
            <w:tcMar>
              <w:top w:w="80" w:type="dxa"/>
              <w:bottom w:w="80" w:type="dxa"/>
              <w:left w:w="120" w:type="dxa"/>
              <w:right w:w="120" w:type="dxa"/>
            </w:tcMar>
          </w:tcPr>
          <w:p>
            <w:pPr>
              <w:spacing w:after="40" w:before="40"/>
              <w:jc w:val="center"/>
            </w:pPr>
            <w:r>
              <w:rPr>
                <w:b/>
                <w:sz w:val="19"/>
              </w:rPr>
              <w:t>Before Hit Rate</w:t>
            </w:r>
          </w:p>
        </w:tc>
        <w:tc>
          <w:tcPr>
            <w:tcW w:type="dxa" w:w="1170"/>
            <w:shd w:fill="E2E8F0"/>
            <w:tcMar>
              <w:top w:w="80" w:type="dxa"/>
              <w:bottom w:w="80" w:type="dxa"/>
              <w:left w:w="120" w:type="dxa"/>
              <w:right w:w="120" w:type="dxa"/>
            </w:tcMar>
          </w:tcPr>
          <w:p>
            <w:pPr>
              <w:spacing w:after="40" w:before="40"/>
              <w:jc w:val="center"/>
            </w:pPr>
            <w:r>
              <w:rPr>
                <w:b/>
                <w:sz w:val="19"/>
              </w:rPr>
              <w:t>After Faults</w:t>
            </w:r>
          </w:p>
        </w:tc>
        <w:tc>
          <w:tcPr>
            <w:tcW w:type="dxa" w:w="1170"/>
            <w:shd w:fill="E2E8F0"/>
            <w:tcMar>
              <w:top w:w="80" w:type="dxa"/>
              <w:bottom w:w="80" w:type="dxa"/>
              <w:left w:w="120" w:type="dxa"/>
              <w:right w:w="120" w:type="dxa"/>
            </w:tcMar>
          </w:tcPr>
          <w:p>
            <w:pPr>
              <w:spacing w:after="40" w:before="40"/>
              <w:jc w:val="center"/>
            </w:pPr>
            <w:r>
              <w:rPr>
                <w:b/>
                <w:sz w:val="19"/>
              </w:rPr>
              <w:t>After Hit Rate</w:t>
            </w:r>
          </w:p>
        </w:tc>
        <w:tc>
          <w:tcPr>
            <w:tcW w:type="dxa" w:w="1170"/>
            <w:shd w:fill="E2E8F0"/>
            <w:tcMar>
              <w:top w:w="80" w:type="dxa"/>
              <w:bottom w:w="80" w:type="dxa"/>
              <w:left w:w="120" w:type="dxa"/>
              <w:right w:w="120" w:type="dxa"/>
            </w:tcMar>
          </w:tcPr>
          <w:p>
            <w:pPr>
              <w:spacing w:after="40" w:before="40"/>
              <w:jc w:val="center"/>
            </w:pPr>
            <w:r>
              <w:rPr>
                <w:b/>
                <w:sz w:val="19"/>
              </w:rPr>
              <w:t>Overall Faults</w:t>
            </w:r>
          </w:p>
        </w:tc>
        <w:tc>
          <w:tcPr>
            <w:tcW w:type="dxa" w:w="1170"/>
            <w:shd w:fill="E2E8F0"/>
            <w:tcMar>
              <w:top w:w="80" w:type="dxa"/>
              <w:bottom w:w="80" w:type="dxa"/>
              <w:left w:w="120" w:type="dxa"/>
              <w:right w:w="120" w:type="dxa"/>
            </w:tcMar>
          </w:tcPr>
          <w:p>
            <w:pPr>
              <w:spacing w:after="40" w:before="40"/>
              <w:jc w:val="center"/>
            </w:pPr>
            <w:r>
              <w:rPr>
                <w:b/>
                <w:sz w:val="19"/>
              </w:rPr>
              <w:t>Overall Hits</w:t>
            </w:r>
          </w:p>
        </w:tc>
        <w:tc>
          <w:tcPr>
            <w:tcW w:type="dxa" w:w="1170"/>
            <w:shd w:fill="E2E8F0"/>
            <w:tcMar>
              <w:top w:w="80" w:type="dxa"/>
              <w:bottom w:w="80" w:type="dxa"/>
              <w:left w:w="120" w:type="dxa"/>
              <w:right w:w="120" w:type="dxa"/>
            </w:tcMar>
          </w:tcPr>
          <w:p>
            <w:pPr>
              <w:spacing w:after="40" w:before="40"/>
              <w:jc w:val="center"/>
            </w:pPr>
            <w:r>
              <w:rPr>
                <w:b/>
                <w:sz w:val="19"/>
              </w:rPr>
              <w:t>Overall Hit Rate</w:t>
            </w:r>
          </w:p>
        </w:tc>
      </w:tr>
      <w:tr>
        <w:tc>
          <w:tcPr>
            <w:tcW w:type="dxa" w:w="1170"/>
            <w:tcMar>
              <w:top w:w="80" w:type="dxa"/>
              <w:bottom w:w="80" w:type="dxa"/>
              <w:left w:w="120" w:type="dxa"/>
              <w:right w:w="120" w:type="dxa"/>
            </w:tcMar>
          </w:tcPr>
          <w:p>
            <w:pPr>
              <w:spacing w:after="40" w:before="40"/>
              <w:jc w:val="left"/>
            </w:pPr>
            <w:r>
              <w:rPr>
                <w:b/>
                <w:sz w:val="18"/>
              </w:rPr>
              <w:t>FIFO</w:t>
            </w:r>
          </w:p>
        </w:tc>
        <w:tc>
          <w:tcPr>
            <w:tcW w:type="dxa" w:w="1170"/>
            <w:tcMar>
              <w:top w:w="80" w:type="dxa"/>
              <w:bottom w:w="80" w:type="dxa"/>
              <w:left w:w="120" w:type="dxa"/>
              <w:right w:w="120" w:type="dxa"/>
            </w:tcMar>
          </w:tcPr>
          <w:p>
            <w:pPr>
              <w:spacing w:after="40" w:before="40"/>
              <w:jc w:val="center"/>
            </w:pPr>
            <w:r>
              <w:rPr>
                <w:sz w:val="18"/>
              </w:rPr>
              <w:t>537</w:t>
            </w:r>
          </w:p>
        </w:tc>
        <w:tc>
          <w:tcPr>
            <w:tcW w:type="dxa" w:w="1170"/>
            <w:tcMar>
              <w:top w:w="80" w:type="dxa"/>
              <w:bottom w:w="80" w:type="dxa"/>
              <w:left w:w="120" w:type="dxa"/>
              <w:right w:w="120" w:type="dxa"/>
            </w:tcMar>
          </w:tcPr>
          <w:p>
            <w:pPr>
              <w:spacing w:after="40" w:before="40"/>
              <w:jc w:val="center"/>
            </w:pPr>
            <w:r>
              <w:rPr>
                <w:sz w:val="18"/>
              </w:rPr>
              <w:t>0.463</w:t>
            </w:r>
          </w:p>
        </w:tc>
        <w:tc>
          <w:tcPr>
            <w:tcW w:type="dxa" w:w="1170"/>
            <w:tcMar>
              <w:top w:w="80" w:type="dxa"/>
              <w:bottom w:w="80" w:type="dxa"/>
              <w:left w:w="120" w:type="dxa"/>
              <w:right w:w="120" w:type="dxa"/>
            </w:tcMar>
          </w:tcPr>
          <w:p>
            <w:pPr>
              <w:spacing w:after="40" w:before="40"/>
              <w:jc w:val="center"/>
            </w:pPr>
            <w:r>
              <w:rPr>
                <w:sz w:val="18"/>
              </w:rPr>
              <w:t>500</w:t>
            </w:r>
          </w:p>
        </w:tc>
        <w:tc>
          <w:tcPr>
            <w:tcW w:type="dxa" w:w="1170"/>
            <w:tcMar>
              <w:top w:w="80" w:type="dxa"/>
              <w:bottom w:w="80" w:type="dxa"/>
              <w:left w:w="120" w:type="dxa"/>
              <w:right w:w="120" w:type="dxa"/>
            </w:tcMar>
          </w:tcPr>
          <w:p>
            <w:pPr>
              <w:spacing w:after="40" w:before="40"/>
              <w:jc w:val="center"/>
            </w:pPr>
            <w:r>
              <w:rPr>
                <w:sz w:val="18"/>
              </w:rPr>
              <w:t>0.500</w:t>
            </w:r>
          </w:p>
        </w:tc>
        <w:tc>
          <w:tcPr>
            <w:tcW w:type="dxa" w:w="1170"/>
            <w:tcMar>
              <w:top w:w="80" w:type="dxa"/>
              <w:bottom w:w="80" w:type="dxa"/>
              <w:left w:w="120" w:type="dxa"/>
              <w:right w:w="120" w:type="dxa"/>
            </w:tcMar>
          </w:tcPr>
          <w:p>
            <w:pPr>
              <w:spacing w:after="40" w:before="40"/>
              <w:jc w:val="center"/>
            </w:pPr>
            <w:r>
              <w:rPr>
                <w:sz w:val="18"/>
              </w:rPr>
              <w:t>1,037</w:t>
            </w:r>
          </w:p>
        </w:tc>
        <w:tc>
          <w:tcPr>
            <w:tcW w:type="dxa" w:w="1170"/>
            <w:tcMar>
              <w:top w:w="80" w:type="dxa"/>
              <w:bottom w:w="80" w:type="dxa"/>
              <w:left w:w="120" w:type="dxa"/>
              <w:right w:w="120" w:type="dxa"/>
            </w:tcMar>
          </w:tcPr>
          <w:p>
            <w:pPr>
              <w:spacing w:after="40" w:before="40"/>
              <w:jc w:val="center"/>
            </w:pPr>
            <w:r>
              <w:rPr>
                <w:sz w:val="18"/>
              </w:rPr>
              <w:t>963</w:t>
            </w:r>
          </w:p>
        </w:tc>
        <w:tc>
          <w:tcPr>
            <w:tcW w:type="dxa" w:w="1170"/>
            <w:tcMar>
              <w:top w:w="80" w:type="dxa"/>
              <w:bottom w:w="80" w:type="dxa"/>
              <w:left w:w="120" w:type="dxa"/>
              <w:right w:w="120" w:type="dxa"/>
            </w:tcMar>
          </w:tcPr>
          <w:p>
            <w:pPr>
              <w:spacing w:after="40" w:before="40"/>
              <w:jc w:val="center"/>
            </w:pPr>
            <w:r>
              <w:rPr>
                <w:sz w:val="18"/>
              </w:rPr>
              <w:t>0.482</w:t>
            </w:r>
          </w:p>
        </w:tc>
      </w:tr>
      <w:tr>
        <w:tc>
          <w:tcPr>
            <w:tcW w:type="dxa" w:w="1170"/>
            <w:tcMar>
              <w:top w:w="80" w:type="dxa"/>
              <w:bottom w:w="80" w:type="dxa"/>
              <w:left w:w="120" w:type="dxa"/>
              <w:right w:w="120" w:type="dxa"/>
            </w:tcMar>
          </w:tcPr>
          <w:p>
            <w:pPr>
              <w:spacing w:after="40" w:before="40"/>
              <w:jc w:val="left"/>
            </w:pPr>
            <w:r>
              <w:rPr>
                <w:b/>
                <w:sz w:val="18"/>
              </w:rPr>
              <w:t>LRU</w:t>
            </w:r>
          </w:p>
        </w:tc>
        <w:tc>
          <w:tcPr>
            <w:tcW w:type="dxa" w:w="1170"/>
            <w:tcMar>
              <w:top w:w="80" w:type="dxa"/>
              <w:bottom w:w="80" w:type="dxa"/>
              <w:left w:w="120" w:type="dxa"/>
              <w:right w:w="120" w:type="dxa"/>
            </w:tcMar>
          </w:tcPr>
          <w:p>
            <w:pPr>
              <w:spacing w:after="40" w:before="40"/>
              <w:jc w:val="center"/>
            </w:pPr>
            <w:r>
              <w:rPr>
                <w:sz w:val="18"/>
              </w:rPr>
              <w:t>512</w:t>
            </w:r>
          </w:p>
        </w:tc>
        <w:tc>
          <w:tcPr>
            <w:tcW w:type="dxa" w:w="1170"/>
            <w:tcMar>
              <w:top w:w="80" w:type="dxa"/>
              <w:bottom w:w="80" w:type="dxa"/>
              <w:left w:w="120" w:type="dxa"/>
              <w:right w:w="120" w:type="dxa"/>
            </w:tcMar>
          </w:tcPr>
          <w:p>
            <w:pPr>
              <w:spacing w:after="40" w:before="40"/>
              <w:jc w:val="center"/>
            </w:pPr>
            <w:r>
              <w:rPr>
                <w:sz w:val="18"/>
              </w:rPr>
              <w:t>0.488</w:t>
            </w:r>
          </w:p>
        </w:tc>
        <w:tc>
          <w:tcPr>
            <w:tcW w:type="dxa" w:w="1170"/>
            <w:tcMar>
              <w:top w:w="80" w:type="dxa"/>
              <w:bottom w:w="80" w:type="dxa"/>
              <w:left w:w="120" w:type="dxa"/>
              <w:right w:w="120" w:type="dxa"/>
            </w:tcMar>
          </w:tcPr>
          <w:p>
            <w:pPr>
              <w:spacing w:after="40" w:before="40"/>
              <w:jc w:val="center"/>
            </w:pPr>
            <w:r>
              <w:rPr>
                <w:sz w:val="18"/>
              </w:rPr>
              <w:t>499</w:t>
            </w:r>
          </w:p>
        </w:tc>
        <w:tc>
          <w:tcPr>
            <w:tcW w:type="dxa" w:w="1170"/>
            <w:tcMar>
              <w:top w:w="80" w:type="dxa"/>
              <w:bottom w:w="80" w:type="dxa"/>
              <w:left w:w="120" w:type="dxa"/>
              <w:right w:w="120" w:type="dxa"/>
            </w:tcMar>
          </w:tcPr>
          <w:p>
            <w:pPr>
              <w:spacing w:after="40" w:before="40"/>
              <w:jc w:val="center"/>
            </w:pPr>
            <w:r>
              <w:rPr>
                <w:sz w:val="18"/>
              </w:rPr>
              <w:t>0.501</w:t>
            </w:r>
          </w:p>
        </w:tc>
        <w:tc>
          <w:tcPr>
            <w:tcW w:type="dxa" w:w="1170"/>
            <w:tcMar>
              <w:top w:w="80" w:type="dxa"/>
              <w:bottom w:w="80" w:type="dxa"/>
              <w:left w:w="120" w:type="dxa"/>
              <w:right w:w="120" w:type="dxa"/>
            </w:tcMar>
          </w:tcPr>
          <w:p>
            <w:pPr>
              <w:spacing w:after="40" w:before="40"/>
              <w:jc w:val="center"/>
            </w:pPr>
            <w:r>
              <w:rPr>
                <w:sz w:val="18"/>
              </w:rPr>
              <w:t>1,011</w:t>
            </w:r>
          </w:p>
        </w:tc>
        <w:tc>
          <w:tcPr>
            <w:tcW w:type="dxa" w:w="1170"/>
            <w:tcMar>
              <w:top w:w="80" w:type="dxa"/>
              <w:bottom w:w="80" w:type="dxa"/>
              <w:left w:w="120" w:type="dxa"/>
              <w:right w:w="120" w:type="dxa"/>
            </w:tcMar>
          </w:tcPr>
          <w:p>
            <w:pPr>
              <w:spacing w:after="40" w:before="40"/>
              <w:jc w:val="center"/>
            </w:pPr>
            <w:r>
              <w:rPr>
                <w:sz w:val="18"/>
              </w:rPr>
              <w:t>989</w:t>
            </w:r>
          </w:p>
        </w:tc>
        <w:tc>
          <w:tcPr>
            <w:tcW w:type="dxa" w:w="1170"/>
            <w:tcMar>
              <w:top w:w="80" w:type="dxa"/>
              <w:bottom w:w="80" w:type="dxa"/>
              <w:left w:w="120" w:type="dxa"/>
              <w:right w:w="120" w:type="dxa"/>
            </w:tcMar>
          </w:tcPr>
          <w:p>
            <w:pPr>
              <w:spacing w:after="40" w:before="40"/>
              <w:jc w:val="center"/>
            </w:pPr>
            <w:r>
              <w:rPr>
                <w:sz w:val="18"/>
              </w:rPr>
              <w:t>0.495</w:t>
            </w:r>
          </w:p>
        </w:tc>
      </w:tr>
      <w:tr>
        <w:tc>
          <w:tcPr>
            <w:tcW w:type="dxa" w:w="1170"/>
            <w:tcMar>
              <w:top w:w="80" w:type="dxa"/>
              <w:bottom w:w="80" w:type="dxa"/>
              <w:left w:w="120" w:type="dxa"/>
              <w:right w:w="120" w:type="dxa"/>
            </w:tcMar>
          </w:tcPr>
          <w:p>
            <w:pPr>
              <w:spacing w:after="40" w:before="40"/>
              <w:jc w:val="left"/>
            </w:pPr>
            <w:r>
              <w:rPr>
                <w:b/>
                <w:sz w:val="18"/>
              </w:rPr>
              <w:t>Optimal (Belady)</w:t>
            </w:r>
          </w:p>
        </w:tc>
        <w:tc>
          <w:tcPr>
            <w:tcW w:type="dxa" w:w="1170"/>
            <w:tcMar>
              <w:top w:w="80" w:type="dxa"/>
              <w:bottom w:w="80" w:type="dxa"/>
              <w:left w:w="120" w:type="dxa"/>
              <w:right w:w="120" w:type="dxa"/>
            </w:tcMar>
          </w:tcPr>
          <w:p>
            <w:pPr>
              <w:spacing w:after="40" w:before="40"/>
              <w:jc w:val="center"/>
            </w:pPr>
            <w:r>
              <w:rPr>
                <w:sz w:val="18"/>
              </w:rPr>
              <w:t>318</w:t>
            </w:r>
          </w:p>
        </w:tc>
        <w:tc>
          <w:tcPr>
            <w:tcW w:type="dxa" w:w="1170"/>
            <w:tcMar>
              <w:top w:w="80" w:type="dxa"/>
              <w:bottom w:w="80" w:type="dxa"/>
              <w:left w:w="120" w:type="dxa"/>
              <w:right w:w="120" w:type="dxa"/>
            </w:tcMar>
          </w:tcPr>
          <w:p>
            <w:pPr>
              <w:spacing w:after="40" w:before="40"/>
              <w:jc w:val="center"/>
            </w:pPr>
            <w:r>
              <w:rPr>
                <w:sz w:val="18"/>
              </w:rPr>
              <w:t>0.682</w:t>
            </w:r>
          </w:p>
        </w:tc>
        <w:tc>
          <w:tcPr>
            <w:tcW w:type="dxa" w:w="1170"/>
            <w:tcMar>
              <w:top w:w="80" w:type="dxa"/>
              <w:bottom w:w="80" w:type="dxa"/>
              <w:left w:w="120" w:type="dxa"/>
              <w:right w:w="120" w:type="dxa"/>
            </w:tcMar>
          </w:tcPr>
          <w:p>
            <w:pPr>
              <w:spacing w:after="40" w:before="40"/>
              <w:jc w:val="center"/>
            </w:pPr>
            <w:r>
              <w:rPr>
                <w:sz w:val="18"/>
              </w:rPr>
              <w:t>360</w:t>
            </w:r>
          </w:p>
        </w:tc>
        <w:tc>
          <w:tcPr>
            <w:tcW w:type="dxa" w:w="1170"/>
            <w:tcMar>
              <w:top w:w="80" w:type="dxa"/>
              <w:bottom w:w="80" w:type="dxa"/>
              <w:left w:w="120" w:type="dxa"/>
              <w:right w:w="120" w:type="dxa"/>
            </w:tcMar>
          </w:tcPr>
          <w:p>
            <w:pPr>
              <w:spacing w:after="40" w:before="40"/>
              <w:jc w:val="center"/>
            </w:pPr>
            <w:r>
              <w:rPr>
                <w:sz w:val="18"/>
              </w:rPr>
              <w:t>0.640</w:t>
            </w:r>
          </w:p>
        </w:tc>
        <w:tc>
          <w:tcPr>
            <w:tcW w:type="dxa" w:w="1170"/>
            <w:tcMar>
              <w:top w:w="80" w:type="dxa"/>
              <w:bottom w:w="80" w:type="dxa"/>
              <w:left w:w="120" w:type="dxa"/>
              <w:right w:w="120" w:type="dxa"/>
            </w:tcMar>
          </w:tcPr>
          <w:p>
            <w:pPr>
              <w:spacing w:after="40" w:before="40"/>
              <w:jc w:val="center"/>
            </w:pPr>
            <w:r>
              <w:rPr>
                <w:sz w:val="18"/>
              </w:rPr>
              <w:t>678</w:t>
            </w:r>
          </w:p>
        </w:tc>
        <w:tc>
          <w:tcPr>
            <w:tcW w:type="dxa" w:w="1170"/>
            <w:tcMar>
              <w:top w:w="80" w:type="dxa"/>
              <w:bottom w:w="80" w:type="dxa"/>
              <w:left w:w="120" w:type="dxa"/>
              <w:right w:w="120" w:type="dxa"/>
            </w:tcMar>
          </w:tcPr>
          <w:p>
            <w:pPr>
              <w:spacing w:after="40" w:before="40"/>
              <w:jc w:val="center"/>
            </w:pPr>
            <w:r>
              <w:rPr>
                <w:sz w:val="18"/>
              </w:rPr>
              <w:t>1,322</w:t>
            </w:r>
          </w:p>
        </w:tc>
        <w:tc>
          <w:tcPr>
            <w:tcW w:type="dxa" w:w="1170"/>
            <w:tcMar>
              <w:top w:w="80" w:type="dxa"/>
              <w:bottom w:w="80" w:type="dxa"/>
              <w:left w:w="120" w:type="dxa"/>
              <w:right w:w="120" w:type="dxa"/>
            </w:tcMar>
          </w:tcPr>
          <w:p>
            <w:pPr>
              <w:spacing w:after="40" w:before="40"/>
              <w:jc w:val="center"/>
            </w:pPr>
            <w:r>
              <w:rPr>
                <w:sz w:val="18"/>
              </w:rPr>
              <w:t>0.661</w:t>
            </w:r>
          </w:p>
        </w:tc>
      </w:tr>
      <w:tr>
        <w:tc>
          <w:tcPr>
            <w:tcW w:type="dxa" w:w="1170"/>
            <w:tcMar>
              <w:top w:w="80" w:type="dxa"/>
              <w:bottom w:w="80" w:type="dxa"/>
              <w:left w:w="120" w:type="dxa"/>
              <w:right w:w="120" w:type="dxa"/>
            </w:tcMar>
          </w:tcPr>
          <w:p>
            <w:pPr>
              <w:spacing w:after="40" w:before="40"/>
              <w:jc w:val="left"/>
            </w:pPr>
            <w:r>
              <w:rPr>
                <w:b/>
                <w:sz w:val="18"/>
              </w:rPr>
              <w:t>Learned Adaptive</w:t>
            </w:r>
          </w:p>
        </w:tc>
        <w:tc>
          <w:tcPr>
            <w:tcW w:type="dxa" w:w="1170"/>
            <w:tcMar>
              <w:top w:w="80" w:type="dxa"/>
              <w:bottom w:w="80" w:type="dxa"/>
              <w:left w:w="120" w:type="dxa"/>
              <w:right w:w="120" w:type="dxa"/>
            </w:tcMar>
          </w:tcPr>
          <w:p>
            <w:pPr>
              <w:spacing w:after="40" w:before="40"/>
              <w:jc w:val="center"/>
            </w:pPr>
            <w:r>
              <w:rPr>
                <w:sz w:val="18"/>
              </w:rPr>
              <w:t>536</w:t>
            </w:r>
          </w:p>
        </w:tc>
        <w:tc>
          <w:tcPr>
            <w:tcW w:type="dxa" w:w="1170"/>
            <w:tcMar>
              <w:top w:w="80" w:type="dxa"/>
              <w:bottom w:w="80" w:type="dxa"/>
              <w:left w:w="120" w:type="dxa"/>
              <w:right w:w="120" w:type="dxa"/>
            </w:tcMar>
          </w:tcPr>
          <w:p>
            <w:pPr>
              <w:spacing w:after="40" w:before="40"/>
              <w:jc w:val="center"/>
            </w:pPr>
            <w:r>
              <w:rPr>
                <w:sz w:val="18"/>
              </w:rPr>
              <w:t>0.464</w:t>
            </w:r>
          </w:p>
        </w:tc>
        <w:tc>
          <w:tcPr>
            <w:tcW w:type="dxa" w:w="1170"/>
            <w:tcMar>
              <w:top w:w="80" w:type="dxa"/>
              <w:bottom w:w="80" w:type="dxa"/>
              <w:left w:w="120" w:type="dxa"/>
              <w:right w:w="120" w:type="dxa"/>
            </w:tcMar>
          </w:tcPr>
          <w:p>
            <w:pPr>
              <w:spacing w:after="40" w:before="40"/>
              <w:jc w:val="center"/>
            </w:pPr>
            <w:r>
              <w:rPr>
                <w:sz w:val="18"/>
              </w:rPr>
              <w:t>539</w:t>
            </w:r>
          </w:p>
        </w:tc>
        <w:tc>
          <w:tcPr>
            <w:tcW w:type="dxa" w:w="1170"/>
            <w:tcMar>
              <w:top w:w="80" w:type="dxa"/>
              <w:bottom w:w="80" w:type="dxa"/>
              <w:left w:w="120" w:type="dxa"/>
              <w:right w:w="120" w:type="dxa"/>
            </w:tcMar>
          </w:tcPr>
          <w:p>
            <w:pPr>
              <w:spacing w:after="40" w:before="40"/>
              <w:jc w:val="center"/>
            </w:pPr>
            <w:r>
              <w:rPr>
                <w:sz w:val="18"/>
              </w:rPr>
              <w:t>0.461</w:t>
            </w:r>
          </w:p>
        </w:tc>
        <w:tc>
          <w:tcPr>
            <w:tcW w:type="dxa" w:w="1170"/>
            <w:tcMar>
              <w:top w:w="80" w:type="dxa"/>
              <w:bottom w:w="80" w:type="dxa"/>
              <w:left w:w="120" w:type="dxa"/>
              <w:right w:w="120" w:type="dxa"/>
            </w:tcMar>
          </w:tcPr>
          <w:p>
            <w:pPr>
              <w:spacing w:after="40" w:before="40"/>
              <w:jc w:val="center"/>
            </w:pPr>
            <w:r>
              <w:rPr>
                <w:sz w:val="18"/>
              </w:rPr>
              <w:t>1,075</w:t>
            </w:r>
          </w:p>
        </w:tc>
        <w:tc>
          <w:tcPr>
            <w:tcW w:type="dxa" w:w="1170"/>
            <w:tcMar>
              <w:top w:w="80" w:type="dxa"/>
              <w:bottom w:w="80" w:type="dxa"/>
              <w:left w:w="120" w:type="dxa"/>
              <w:right w:w="120" w:type="dxa"/>
            </w:tcMar>
          </w:tcPr>
          <w:p>
            <w:pPr>
              <w:spacing w:after="40" w:before="40"/>
              <w:jc w:val="center"/>
            </w:pPr>
            <w:r>
              <w:rPr>
                <w:sz w:val="18"/>
              </w:rPr>
              <w:t>925</w:t>
            </w:r>
          </w:p>
        </w:tc>
        <w:tc>
          <w:tcPr>
            <w:tcW w:type="dxa" w:w="1170"/>
            <w:tcMar>
              <w:top w:w="80" w:type="dxa"/>
              <w:bottom w:w="80" w:type="dxa"/>
              <w:left w:w="120" w:type="dxa"/>
              <w:right w:w="120" w:type="dxa"/>
            </w:tcMar>
          </w:tcPr>
          <w:p>
            <w:pPr>
              <w:spacing w:after="40" w:before="40"/>
              <w:jc w:val="center"/>
            </w:pPr>
            <w:r>
              <w:rPr>
                <w:sz w:val="18"/>
              </w:rPr>
              <w:t>0.463</w:t>
            </w:r>
          </w:p>
        </w:tc>
      </w:tr>
    </w:tbl>
    <w:p>
      <w:pPr>
        <w:spacing w:before="60" w:after="160"/>
        <w:jc w:val="center"/>
      </w:pPr>
      <w:r>
        <w:rPr>
          <w:i/>
          <w:sz w:val="18"/>
        </w:rPr>
        <w:t>Table 1: Page faults, hits, and hit ratios before, after, and overall (N=2,000, M=4, seed=42).</w:t>
      </w:r>
    </w:p>
    <w:p>
      <w:r>
        <w:t>Table 2 presents the detailed delta analysis across the distribution shift, showing absolute fault changes, percentage changes, and hit ratio shifts.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E2E8F0"/>
            <w:tcMar>
              <w:top w:w="80" w:type="dxa"/>
              <w:bottom w:w="80" w:type="dxa"/>
              <w:left w:w="120" w:type="dxa"/>
              <w:right w:w="120" w:type="dxa"/>
            </w:tcMar>
          </w:tcPr>
          <w:p>
            <w:pPr>
              <w:spacing w:after="40" w:before="40"/>
              <w:jc w:val="left"/>
            </w:pPr>
            <w:r>
              <w:rPr>
                <w:b/>
                <w:sz w:val="19"/>
              </w:rPr>
              <w:t>Algorithm</w:t>
            </w:r>
          </w:p>
        </w:tc>
        <w:tc>
          <w:tcPr>
            <w:tcW w:type="dxa" w:w="1872"/>
            <w:shd w:fill="E2E8F0"/>
            <w:tcMar>
              <w:top w:w="80" w:type="dxa"/>
              <w:bottom w:w="80" w:type="dxa"/>
              <w:left w:w="120" w:type="dxa"/>
              <w:right w:w="120" w:type="dxa"/>
            </w:tcMar>
          </w:tcPr>
          <w:p>
            <w:pPr>
              <w:spacing w:after="40" w:before="40"/>
              <w:jc w:val="center"/>
            </w:pPr>
            <w:r>
              <w:rPr>
                <w:b/>
                <w:sz w:val="19"/>
              </w:rPr>
              <w:t>Fault Delta (ΔF)</w:t>
            </w:r>
          </w:p>
        </w:tc>
        <w:tc>
          <w:tcPr>
            <w:tcW w:type="dxa" w:w="1872"/>
            <w:shd w:fill="E2E8F0"/>
            <w:tcMar>
              <w:top w:w="80" w:type="dxa"/>
              <w:bottom w:w="80" w:type="dxa"/>
              <w:left w:w="120" w:type="dxa"/>
              <w:right w:w="120" w:type="dxa"/>
            </w:tcMar>
          </w:tcPr>
          <w:p>
            <w:pPr>
              <w:spacing w:after="40" w:before="40"/>
              <w:jc w:val="center"/>
            </w:pPr>
            <w:r>
              <w:rPr>
                <w:b/>
                <w:sz w:val="19"/>
              </w:rPr>
              <w:t>% Fault Change</w:t>
            </w:r>
          </w:p>
        </w:tc>
        <w:tc>
          <w:tcPr>
            <w:tcW w:type="dxa" w:w="1872"/>
            <w:shd w:fill="E2E8F0"/>
            <w:tcMar>
              <w:top w:w="80" w:type="dxa"/>
              <w:bottom w:w="80" w:type="dxa"/>
              <w:left w:w="120" w:type="dxa"/>
              <w:right w:w="120" w:type="dxa"/>
            </w:tcMar>
          </w:tcPr>
          <w:p>
            <w:pPr>
              <w:spacing w:after="40" w:before="40"/>
              <w:jc w:val="center"/>
            </w:pPr>
            <w:r>
              <w:rPr>
                <w:b/>
                <w:sz w:val="19"/>
              </w:rPr>
              <w:t>Hit Rate Delta (Δh)</w:t>
            </w:r>
          </w:p>
        </w:tc>
        <w:tc>
          <w:tcPr>
            <w:tcW w:type="dxa" w:w="1872"/>
            <w:shd w:fill="E2E8F0"/>
            <w:tcMar>
              <w:top w:w="80" w:type="dxa"/>
              <w:bottom w:w="80" w:type="dxa"/>
              <w:left w:w="120" w:type="dxa"/>
              <w:right w:w="120" w:type="dxa"/>
            </w:tcMar>
          </w:tcPr>
          <w:p>
            <w:pPr>
              <w:spacing w:after="40" w:before="40"/>
              <w:jc w:val="center"/>
            </w:pPr>
            <w:r>
              <w:rPr>
                <w:b/>
                <w:sz w:val="19"/>
              </w:rPr>
              <w:t>Performance Gap vs LRU</w:t>
            </w:r>
          </w:p>
        </w:tc>
      </w:tr>
      <w:tr>
        <w:tc>
          <w:tcPr>
            <w:tcW w:type="dxa" w:w="1872"/>
            <w:tcMar>
              <w:top w:w="80" w:type="dxa"/>
              <w:bottom w:w="80" w:type="dxa"/>
              <w:left w:w="120" w:type="dxa"/>
              <w:right w:w="120" w:type="dxa"/>
            </w:tcMar>
          </w:tcPr>
          <w:p>
            <w:pPr>
              <w:spacing w:after="40" w:before="40"/>
              <w:jc w:val="left"/>
            </w:pPr>
            <w:r>
              <w:rPr>
                <w:b/>
                <w:sz w:val="18"/>
              </w:rPr>
              <w:t>FIFO</w:t>
            </w:r>
          </w:p>
        </w:tc>
        <w:tc>
          <w:tcPr>
            <w:tcW w:type="dxa" w:w="1872"/>
            <w:tcMar>
              <w:top w:w="80" w:type="dxa"/>
              <w:bottom w:w="80" w:type="dxa"/>
              <w:left w:w="120" w:type="dxa"/>
              <w:right w:w="120" w:type="dxa"/>
            </w:tcMar>
          </w:tcPr>
          <w:p>
            <w:pPr>
              <w:spacing w:after="40" w:before="40"/>
              <w:jc w:val="center"/>
            </w:pPr>
            <w:r>
              <w:rPr>
                <w:sz w:val="18"/>
              </w:rPr>
              <w:t>-37</w:t>
            </w:r>
          </w:p>
        </w:tc>
        <w:tc>
          <w:tcPr>
            <w:tcW w:type="dxa" w:w="1872"/>
            <w:tcMar>
              <w:top w:w="80" w:type="dxa"/>
              <w:bottom w:w="80" w:type="dxa"/>
              <w:left w:w="120" w:type="dxa"/>
              <w:right w:w="120" w:type="dxa"/>
            </w:tcMar>
          </w:tcPr>
          <w:p>
            <w:pPr>
              <w:spacing w:after="40" w:before="40"/>
              <w:jc w:val="center"/>
            </w:pPr>
            <w:r>
              <w:rPr>
                <w:sz w:val="18"/>
              </w:rPr>
              <w:t>-6.89%</w:t>
            </w:r>
          </w:p>
        </w:tc>
        <w:tc>
          <w:tcPr>
            <w:tcW w:type="dxa" w:w="1872"/>
            <w:tcMar>
              <w:top w:w="80" w:type="dxa"/>
              <w:bottom w:w="80" w:type="dxa"/>
              <w:left w:w="120" w:type="dxa"/>
              <w:right w:w="120" w:type="dxa"/>
            </w:tcMar>
          </w:tcPr>
          <w:p>
            <w:pPr>
              <w:spacing w:after="40" w:before="40"/>
              <w:jc w:val="center"/>
            </w:pPr>
            <w:r>
              <w:rPr>
                <w:sz w:val="18"/>
              </w:rPr>
              <w:t>+0.037</w:t>
            </w:r>
          </w:p>
        </w:tc>
        <w:tc>
          <w:tcPr>
            <w:tcW w:type="dxa" w:w="1872"/>
            <w:tcMar>
              <w:top w:w="80" w:type="dxa"/>
              <w:bottom w:w="80" w:type="dxa"/>
              <w:left w:w="120" w:type="dxa"/>
              <w:right w:w="120" w:type="dxa"/>
            </w:tcMar>
          </w:tcPr>
          <w:p>
            <w:pPr>
              <w:spacing w:after="40" w:before="40"/>
              <w:jc w:val="center"/>
            </w:pPr>
            <w:r>
              <w:rPr>
                <w:sz w:val="18"/>
              </w:rPr>
              <w:t>+26 faults</w:t>
            </w:r>
          </w:p>
        </w:tc>
      </w:tr>
      <w:tr>
        <w:tc>
          <w:tcPr>
            <w:tcW w:type="dxa" w:w="1872"/>
            <w:tcMar>
              <w:top w:w="80" w:type="dxa"/>
              <w:bottom w:w="80" w:type="dxa"/>
              <w:left w:w="120" w:type="dxa"/>
              <w:right w:w="120" w:type="dxa"/>
            </w:tcMar>
          </w:tcPr>
          <w:p>
            <w:pPr>
              <w:spacing w:after="40" w:before="40"/>
              <w:jc w:val="left"/>
            </w:pPr>
            <w:r>
              <w:rPr>
                <w:b/>
                <w:sz w:val="18"/>
              </w:rPr>
              <w:t>LRU</w:t>
            </w:r>
          </w:p>
        </w:tc>
        <w:tc>
          <w:tcPr>
            <w:tcW w:type="dxa" w:w="1872"/>
            <w:tcMar>
              <w:top w:w="80" w:type="dxa"/>
              <w:bottom w:w="80" w:type="dxa"/>
              <w:left w:w="120" w:type="dxa"/>
              <w:right w:w="120" w:type="dxa"/>
            </w:tcMar>
          </w:tcPr>
          <w:p>
            <w:pPr>
              <w:spacing w:after="40" w:before="40"/>
              <w:jc w:val="center"/>
            </w:pPr>
            <w:r>
              <w:rPr>
                <w:sz w:val="18"/>
              </w:rPr>
              <w:t>-13</w:t>
            </w:r>
          </w:p>
        </w:tc>
        <w:tc>
          <w:tcPr>
            <w:tcW w:type="dxa" w:w="1872"/>
            <w:tcMar>
              <w:top w:w="80" w:type="dxa"/>
              <w:bottom w:w="80" w:type="dxa"/>
              <w:left w:w="120" w:type="dxa"/>
              <w:right w:w="120" w:type="dxa"/>
            </w:tcMar>
          </w:tcPr>
          <w:p>
            <w:pPr>
              <w:spacing w:after="40" w:before="40"/>
              <w:jc w:val="center"/>
            </w:pPr>
            <w:r>
              <w:rPr>
                <w:sz w:val="18"/>
              </w:rPr>
              <w:t>-2.54%</w:t>
            </w:r>
          </w:p>
        </w:tc>
        <w:tc>
          <w:tcPr>
            <w:tcW w:type="dxa" w:w="1872"/>
            <w:tcMar>
              <w:top w:w="80" w:type="dxa"/>
              <w:bottom w:w="80" w:type="dxa"/>
              <w:left w:w="120" w:type="dxa"/>
              <w:right w:w="120" w:type="dxa"/>
            </w:tcMar>
          </w:tcPr>
          <w:p>
            <w:pPr>
              <w:spacing w:after="40" w:before="40"/>
              <w:jc w:val="center"/>
            </w:pPr>
            <w:r>
              <w:rPr>
                <w:sz w:val="18"/>
              </w:rPr>
              <w:t>+0.013</w:t>
            </w:r>
          </w:p>
        </w:tc>
        <w:tc>
          <w:tcPr>
            <w:tcW w:type="dxa" w:w="1872"/>
            <w:tcMar>
              <w:top w:w="80" w:type="dxa"/>
              <w:bottom w:w="80" w:type="dxa"/>
              <w:left w:w="120" w:type="dxa"/>
              <w:right w:w="120" w:type="dxa"/>
            </w:tcMar>
          </w:tcPr>
          <w:p>
            <w:pPr>
              <w:spacing w:after="40" w:before="40"/>
              <w:jc w:val="center"/>
            </w:pPr>
            <w:r>
              <w:rPr>
                <w:sz w:val="18"/>
              </w:rPr>
              <w:t>Baseline (0)</w:t>
            </w:r>
          </w:p>
        </w:tc>
      </w:tr>
      <w:tr>
        <w:tc>
          <w:tcPr>
            <w:tcW w:type="dxa" w:w="1872"/>
            <w:tcMar>
              <w:top w:w="80" w:type="dxa"/>
              <w:bottom w:w="80" w:type="dxa"/>
              <w:left w:w="120" w:type="dxa"/>
              <w:right w:w="120" w:type="dxa"/>
            </w:tcMar>
          </w:tcPr>
          <w:p>
            <w:pPr>
              <w:spacing w:after="40" w:before="40"/>
              <w:jc w:val="left"/>
            </w:pPr>
            <w:r>
              <w:rPr>
                <w:b/>
                <w:sz w:val="18"/>
              </w:rPr>
              <w:t>Optimal</w:t>
            </w:r>
          </w:p>
        </w:tc>
        <w:tc>
          <w:tcPr>
            <w:tcW w:type="dxa" w:w="1872"/>
            <w:tcMar>
              <w:top w:w="80" w:type="dxa"/>
              <w:bottom w:w="80" w:type="dxa"/>
              <w:left w:w="120" w:type="dxa"/>
              <w:right w:w="120" w:type="dxa"/>
            </w:tcMar>
          </w:tcPr>
          <w:p>
            <w:pPr>
              <w:spacing w:after="40" w:before="40"/>
              <w:jc w:val="center"/>
            </w:pPr>
            <w:r>
              <w:rPr>
                <w:sz w:val="18"/>
              </w:rPr>
              <w:t>+42</w:t>
            </w:r>
          </w:p>
        </w:tc>
        <w:tc>
          <w:tcPr>
            <w:tcW w:type="dxa" w:w="1872"/>
            <w:tcMar>
              <w:top w:w="80" w:type="dxa"/>
              <w:bottom w:w="80" w:type="dxa"/>
              <w:left w:w="120" w:type="dxa"/>
              <w:right w:w="120" w:type="dxa"/>
            </w:tcMar>
          </w:tcPr>
          <w:p>
            <w:pPr>
              <w:spacing w:after="40" w:before="40"/>
              <w:jc w:val="center"/>
            </w:pPr>
            <w:r>
              <w:rPr>
                <w:sz w:val="18"/>
              </w:rPr>
              <w:t>+13.21%</w:t>
            </w:r>
          </w:p>
        </w:tc>
        <w:tc>
          <w:tcPr>
            <w:tcW w:type="dxa" w:w="1872"/>
            <w:tcMar>
              <w:top w:w="80" w:type="dxa"/>
              <w:bottom w:w="80" w:type="dxa"/>
              <w:left w:w="120" w:type="dxa"/>
              <w:right w:w="120" w:type="dxa"/>
            </w:tcMar>
          </w:tcPr>
          <w:p>
            <w:pPr>
              <w:spacing w:after="40" w:before="40"/>
              <w:jc w:val="center"/>
            </w:pPr>
            <w:r>
              <w:rPr>
                <w:sz w:val="18"/>
              </w:rPr>
              <w:t>-0.042</w:t>
            </w:r>
          </w:p>
        </w:tc>
        <w:tc>
          <w:tcPr>
            <w:tcW w:type="dxa" w:w="1872"/>
            <w:tcMar>
              <w:top w:w="80" w:type="dxa"/>
              <w:bottom w:w="80" w:type="dxa"/>
              <w:left w:w="120" w:type="dxa"/>
              <w:right w:w="120" w:type="dxa"/>
            </w:tcMar>
          </w:tcPr>
          <w:p>
            <w:pPr>
              <w:spacing w:after="40" w:before="40"/>
              <w:jc w:val="center"/>
            </w:pPr>
            <w:r>
              <w:rPr>
                <w:sz w:val="18"/>
              </w:rPr>
              <w:t>-333 faults</w:t>
            </w:r>
          </w:p>
        </w:tc>
      </w:tr>
      <w:tr>
        <w:tc>
          <w:tcPr>
            <w:tcW w:type="dxa" w:w="1872"/>
            <w:tcMar>
              <w:top w:w="80" w:type="dxa"/>
              <w:bottom w:w="80" w:type="dxa"/>
              <w:left w:w="120" w:type="dxa"/>
              <w:right w:w="120" w:type="dxa"/>
            </w:tcMar>
          </w:tcPr>
          <w:p>
            <w:pPr>
              <w:spacing w:after="40" w:before="40"/>
              <w:jc w:val="left"/>
            </w:pPr>
            <w:r>
              <w:rPr>
                <w:b/>
                <w:sz w:val="18"/>
              </w:rPr>
              <w:t>Learned Adaptive</w:t>
            </w:r>
          </w:p>
        </w:tc>
        <w:tc>
          <w:tcPr>
            <w:tcW w:type="dxa" w:w="1872"/>
            <w:tcMar>
              <w:top w:w="80" w:type="dxa"/>
              <w:bottom w:w="80" w:type="dxa"/>
              <w:left w:w="120" w:type="dxa"/>
              <w:right w:w="120" w:type="dxa"/>
            </w:tcMar>
          </w:tcPr>
          <w:p>
            <w:pPr>
              <w:spacing w:after="40" w:before="40"/>
              <w:jc w:val="center"/>
            </w:pPr>
            <w:r>
              <w:rPr>
                <w:sz w:val="18"/>
              </w:rPr>
              <w:t>+3</w:t>
            </w:r>
          </w:p>
        </w:tc>
        <w:tc>
          <w:tcPr>
            <w:tcW w:type="dxa" w:w="1872"/>
            <w:tcMar>
              <w:top w:w="80" w:type="dxa"/>
              <w:bottom w:w="80" w:type="dxa"/>
              <w:left w:w="120" w:type="dxa"/>
              <w:right w:w="120" w:type="dxa"/>
            </w:tcMar>
          </w:tcPr>
          <w:p>
            <w:pPr>
              <w:spacing w:after="40" w:before="40"/>
              <w:jc w:val="center"/>
            </w:pPr>
            <w:r>
              <w:rPr>
                <w:sz w:val="18"/>
              </w:rPr>
              <w:t>+0.56%</w:t>
            </w:r>
          </w:p>
        </w:tc>
        <w:tc>
          <w:tcPr>
            <w:tcW w:type="dxa" w:w="1872"/>
            <w:tcMar>
              <w:top w:w="80" w:type="dxa"/>
              <w:bottom w:w="80" w:type="dxa"/>
              <w:left w:w="120" w:type="dxa"/>
              <w:right w:w="120" w:type="dxa"/>
            </w:tcMar>
          </w:tcPr>
          <w:p>
            <w:pPr>
              <w:spacing w:after="40" w:before="40"/>
              <w:jc w:val="center"/>
            </w:pPr>
            <w:r>
              <w:rPr>
                <w:sz w:val="18"/>
              </w:rPr>
              <w:t>-0.003</w:t>
            </w:r>
          </w:p>
        </w:tc>
        <w:tc>
          <w:tcPr>
            <w:tcW w:type="dxa" w:w="1872"/>
            <w:tcMar>
              <w:top w:w="80" w:type="dxa"/>
              <w:bottom w:w="80" w:type="dxa"/>
              <w:left w:w="120" w:type="dxa"/>
              <w:right w:w="120" w:type="dxa"/>
            </w:tcMar>
          </w:tcPr>
          <w:p>
            <w:pPr>
              <w:spacing w:after="40" w:before="40"/>
              <w:jc w:val="center"/>
            </w:pPr>
            <w:r>
              <w:rPr>
                <w:sz w:val="18"/>
              </w:rPr>
              <w:t>+64 faults</w:t>
            </w:r>
          </w:p>
        </w:tc>
      </w:tr>
    </w:tbl>
    <w:p>
      <w:pPr>
        <w:spacing w:before="60" w:after="240"/>
        <w:jc w:val="center"/>
      </w:pPr>
      <w:r>
        <w:rPr>
          <w:i/>
          <w:sz w:val="18"/>
        </w:rPr>
        <w:t>Table 2: Performance shift dynamics across the reference 1,000 transition boundary.</w:t>
      </w:r>
    </w:p>
    <w:p>
      <w:pPr>
        <w:spacing w:before="120" w:after="40"/>
        <w:jc w:val="center"/>
      </w:pPr>
      <w:r>
        <w:drawing>
          <wp:inline xmlns:a="http://schemas.openxmlformats.org/drawingml/2006/main" xmlns:pic="http://schemas.openxmlformats.org/drawingml/2006/picture">
            <wp:extent cx="4572000" cy="2581835"/>
            <wp:docPr id="2" name="Picture 2"/>
            <wp:cNvGraphicFramePr>
              <a:graphicFrameLocks noChangeAspect="1"/>
            </wp:cNvGraphicFramePr>
            <a:graphic>
              <a:graphicData uri="http://schemas.openxmlformats.org/drawingml/2006/picture">
                <pic:pic>
                  <pic:nvPicPr>
                    <pic:cNvPr id="0" name="shift_comparison.png"/>
                    <pic:cNvPicPr/>
                  </pic:nvPicPr>
                  <pic:blipFill>
                    <a:blip r:embed="rId10"/>
                    <a:stretch>
                      <a:fillRect/>
                    </a:stretch>
                  </pic:blipFill>
                  <pic:spPr>
                    <a:xfrm>
                      <a:off x="0" y="0"/>
                      <a:ext cx="4572000" cy="2581835"/>
                    </a:xfrm>
                    <a:prstGeom prst="rect"/>
                  </pic:spPr>
                </pic:pic>
              </a:graphicData>
            </a:graphic>
          </wp:inline>
        </w:drawing>
      </w:r>
    </w:p>
    <w:p>
      <w:pPr>
        <w:spacing w:after="200"/>
        <w:jc w:val="center"/>
      </w:pPr>
      <w:r>
        <w:rPr>
          <w:i/>
          <w:sz w:val="18"/>
        </w:rPr>
        <w:t>Figure 1: Page faults before vs. after distribution shift (Shift at Reference 1,000).</w:t>
      </w:r>
    </w:p>
    <w:p>
      <w:pPr>
        <w:spacing w:before="120" w:after="40"/>
        <w:jc w:val="center"/>
      </w:pPr>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page_faults_comparison.png"/>
                    <pic:cNvPicPr/>
                  </pic:nvPicPr>
                  <pic:blipFill>
                    <a:blip r:embed="rId11"/>
                    <a:stretch>
                      <a:fillRect/>
                    </a:stretch>
                  </pic:blipFill>
                  <pic:spPr>
                    <a:xfrm>
                      <a:off x="0" y="0"/>
                      <a:ext cx="4572000" cy="2571750"/>
                    </a:xfrm>
                    <a:prstGeom prst="rect"/>
                  </pic:spPr>
                </pic:pic>
              </a:graphicData>
            </a:graphic>
          </wp:inline>
        </w:drawing>
      </w:r>
    </w:p>
    <w:p>
      <w:pPr>
        <w:spacing w:after="200"/>
        <w:jc w:val="center"/>
      </w:pPr>
      <w:r>
        <w:rPr>
          <w:i/>
          <w:sz w:val="18"/>
        </w:rPr>
        <w:t>Figure 2: Overall cumulative page fault count by algorithm across 2,000 accesses.</w:t>
      </w:r>
    </w:p>
    <w:p>
      <w:pPr>
        <w:spacing w:before="120" w:after="40"/>
        <w:jc w:val="center"/>
      </w:pPr>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hit_ratio_comparison.png"/>
                    <pic:cNvPicPr/>
                  </pic:nvPicPr>
                  <pic:blipFill>
                    <a:blip r:embed="rId12"/>
                    <a:stretch>
                      <a:fillRect/>
                    </a:stretch>
                  </pic:blipFill>
                  <pic:spPr>
                    <a:xfrm>
                      <a:off x="0" y="0"/>
                      <a:ext cx="4572000" cy="2571750"/>
                    </a:xfrm>
                    <a:prstGeom prst="rect"/>
                  </pic:spPr>
                </pic:pic>
              </a:graphicData>
            </a:graphic>
          </wp:inline>
        </w:drawing>
      </w:r>
    </w:p>
    <w:p>
      <w:pPr>
        <w:spacing w:after="200"/>
        <w:jc w:val="center"/>
      </w:pPr>
      <w:r>
        <w:rPr>
          <w:i/>
          <w:sz w:val="18"/>
        </w:rPr>
        <w:t>Figure 3: Overall hit ratio comparison across all four page replacement policies.</w:t>
      </w:r>
    </w:p>
    <w:p>
      <w:pPr>
        <w:pStyle w:val="Heading2"/>
        <w:keepNext/>
        <w:spacing w:before="200" w:after="60"/>
      </w:pPr>
      <w:r>
        <w:rPr>
          <w:rFonts w:ascii="Times New Roman" w:hAnsi="Times New Roman"/>
          <w:b/>
          <w:color w:val="1F2937"/>
          <w:sz w:val="22"/>
        </w:rPr>
        <w:t>5.1 Workload Shift Dynamics</w:t>
      </w:r>
    </w:p>
    <w:p>
      <w:r>
        <w:t>A naive intuition might assume that moving from a 5-page locality set to a 20-page bursty space would universally elevate page faults across all algorithms. However, empirical measurements reveal divergent behavior. Both FIFO and LRU exhibited slight fault reductions in Phase 2 (-6.89% and -2.54%, respectively). This occurred because Phase 1 concentrated 5 competing pages into 4 frames, causing continuous cyclic replacement. In contrast, Phase 2's burst dynamics generated consecutive clusters of identical accesses, yielding runs of guaranteed hits.</w:t>
      </w:r>
    </w:p>
    <w:p>
      <w:r>
        <w:t>Conversely, Belady’s Optimal saw faults rise from 318 to 360 (+13.21%). Under broad 20-page dispersion, even clairvoyant future knowledge cannot avoid misses when working-set cardinality dramatically exceeds physical frame count. Optimal's hit ratio declined from 0.682 to 0.640, reflecting the intrinsic difficulty of the expanded address footprint.</w:t>
      </w:r>
    </w:p>
    <w:p>
      <w:pPr>
        <w:pStyle w:val="Heading2"/>
        <w:keepNext/>
        <w:spacing w:before="200" w:after="60"/>
      </w:pPr>
      <w:r>
        <w:rPr>
          <w:rFonts w:ascii="Times New Roman" w:hAnsi="Times New Roman"/>
          <w:b/>
          <w:color w:val="1F2937"/>
          <w:sz w:val="22"/>
        </w:rPr>
        <w:t>5.2 The Competitiveness of Classical LRU</w:t>
      </w:r>
    </w:p>
    <w:p>
      <w:r>
        <w:t>LRU achieved the highest efficiency among online policies (1,011 faults, 0.4945 overall hit ratio). In Phase 1, LRU's recency tracking effectively preserved the active subset. In Phase 2, the burst mechanism re-established short-term temporal locality, allowing LRU to capture burst hits without configuration changes. This underscores why LRU and its variants have endured as dominant system heuristics for over five decades [3, 7].</w:t>
      </w:r>
    </w:p>
    <w:p>
      <w:pPr>
        <w:pStyle w:val="Heading2"/>
        <w:keepNext/>
        <w:spacing w:before="200" w:after="60"/>
      </w:pPr>
      <w:r>
        <w:rPr>
          <w:rFonts w:ascii="Times New Roman" w:hAnsi="Times New Roman"/>
          <w:b/>
          <w:color w:val="1F2937"/>
          <w:sz w:val="22"/>
        </w:rPr>
        <w:t>5.3 Behavior and Limitations of the Learned Policy</w:t>
      </w:r>
    </w:p>
    <w:p>
      <w:r>
        <w:t>The Learned Adaptive policy completed the simulation with 1,075 page faults (0.4625 hit ratio), executing 7 online retraining cycles. It experienced 64 more faults than LRU and 38 more than FIFO. Several technical factors account for this performance gap:</w:t>
      </w:r>
    </w:p>
    <w:p>
      <w:pPr>
        <w:pStyle w:val="ListBullet"/>
        <w:spacing w:after="40"/>
      </w:pPr>
      <w:r>
        <w:rPr>
          <w:b/>
        </w:rPr>
        <w:t xml:space="preserve">Feature Resolution: </w:t>
      </w:r>
      <w:r>
        <w:t>The four basic features (recency, window frequency, total frequency, frame duration) provide a compressed summary of access state. A constrained decision tree cannot easily synthesize high-order temporal correlations from four scalar metrics.</w:t>
      </w:r>
    </w:p>
    <w:p>
      <w:pPr>
        <w:pStyle w:val="ListBullet"/>
        <w:spacing w:after="40"/>
      </w:pPr>
      <w:r>
        <w:rPr>
          <w:b/>
        </w:rPr>
        <w:t xml:space="preserve">Label Approximation Error: </w:t>
      </w:r>
      <w:r>
        <w:t>The training supervisor uses a finite 50-reference lookahead horizon. In contrast, true Belady optimal considers the entire remaining trace. The model is trained on a surrogate heuristic rather than global optimality.</w:t>
      </w:r>
    </w:p>
    <w:p>
      <w:pPr>
        <w:pStyle w:val="ListBullet"/>
        <w:spacing w:after="40"/>
      </w:pPr>
      <w:r>
        <w:rPr>
          <w:b/>
        </w:rPr>
        <w:t xml:space="preserve">Training Sample Imbalance &amp; Non-stationarity: </w:t>
      </w:r>
      <w:r>
        <w:t>When the distribution shifts at access 1,000, the accumulated training set contains 600 accesses derived from Phase 1. The retraining step at access 1,000 still reflects historical Phase 1 statistics. It takes multiple retraining intervals (accesses 1,200, 1,400) for Phase 2 data to sufficiently populate the training distribution.</w:t>
      </w:r>
    </w:p>
    <w:p>
      <w:pPr>
        <w:pStyle w:val="ListBullet"/>
        <w:spacing w:after="40"/>
      </w:pPr>
      <w:r>
        <w:rPr>
          <w:b/>
        </w:rPr>
        <w:t xml:space="preserve">Consistency across the Shift: </w:t>
      </w:r>
      <w:r>
        <w:t>Notably, the learned policy’s fault count remained virtually flat across the boundary (536 before vs. 539 after, a delta of +3 faults or +0.56%). The model did not collapse catastrophically, showing stable generalization, but its baseline accuracy lagged behind pure recency sorting.</w:t>
      </w:r>
    </w:p>
    <w:p>
      <w:pPr>
        <w:pStyle w:val="Heading1"/>
        <w:keepNext/>
        <w:spacing w:before="280" w:after="80"/>
      </w:pPr>
      <w:r>
        <w:rPr>
          <w:rFonts w:ascii="Times New Roman" w:hAnsi="Times New Roman"/>
          <w:b/>
          <w:color w:val="111827"/>
          <w:sz w:val="26"/>
        </w:rPr>
        <w:t>6. Practical OS Feasibility &amp; Hardware Constraints</w:t>
      </w:r>
    </w:p>
    <w:p>
      <w:r>
        <w:t>While evaluating learned policies in software simulation provides valuable conceptual insights, deploying decision tree inference directly on physical memory access paths faces immense architectural hurdles:</w:t>
      </w:r>
    </w:p>
    <w:p>
      <w:pPr>
        <w:pStyle w:val="ListBullet"/>
        <w:spacing w:after="40"/>
      </w:pPr>
      <w:r>
        <w:rPr>
          <w:b/>
        </w:rPr>
        <w:t xml:space="preserve">Latencies: </w:t>
      </w:r>
      <w:r>
        <w:t>Modern DRAM access latencies range between 50 and 80 nanoseconds. Software classification and feature updating take several microseconds—exceeding hardware latency budgets by orders of magnitude [6, 7].</w:t>
      </w:r>
    </w:p>
    <w:p>
      <w:pPr>
        <w:pStyle w:val="ListBullet"/>
        <w:spacing w:after="40"/>
      </w:pPr>
      <w:r>
        <w:rPr>
          <w:b/>
        </w:rPr>
        <w:t xml:space="preserve">Hardware Integration: </w:t>
      </w:r>
      <w:r>
        <w:t>Real memory controllers utilize hardware-managed Page Tables and Translation Lookaside Buffers (TLBs). Complex feature computation per reference would consume excessive die area and power budget.</w:t>
      </w:r>
    </w:p>
    <w:p>
      <w:pPr>
        <w:pStyle w:val="ListBullet"/>
        <w:spacing w:after="40"/>
      </w:pPr>
      <w:r>
        <w:rPr>
          <w:b/>
        </w:rPr>
        <w:t xml:space="preserve">Amortized Value: </w:t>
      </w:r>
      <w:r>
        <w:t>Learning-augmented replacement is far more viable in software-managed caching tiers with high miss penalties, such as kernel page-cache eviction, virtualized hypervisors, and distributed storage engines, where disk/network I/O penalties (milliseconds) comfortably absorb microsecond inference costs [5, 6].</w:t>
      </w:r>
    </w:p>
    <w:p>
      <w:pPr>
        <w:pStyle w:val="Heading1"/>
        <w:keepNext/>
        <w:spacing w:before="280" w:after="80"/>
      </w:pPr>
      <w:r>
        <w:rPr>
          <w:rFonts w:ascii="Times New Roman" w:hAnsi="Times New Roman"/>
          <w:b/>
          <w:color w:val="111827"/>
          <w:sz w:val="26"/>
        </w:rPr>
        <w:t>7. Conclusion</w:t>
      </w:r>
    </w:p>
    <w:p>
      <w:pPr>
        <w:pStyle w:val="ListBullet"/>
        <w:spacing w:after="40"/>
      </w:pPr>
      <w:r>
        <w:t>Belady’s Optimal provides an invaluable offline upper bound (678 faults) but remains strictly unrealizable online.</w:t>
      </w:r>
    </w:p>
    <w:p>
      <w:pPr>
        <w:pStyle w:val="ListBullet"/>
        <w:spacing w:after="40"/>
      </w:pPr>
      <w:r>
        <w:t>LRU remains an exceptionally strong heuristic whenever temporal locality or burst repetition exists (1,011 faults).</w:t>
      </w:r>
    </w:p>
    <w:p>
      <w:pPr>
        <w:pStyle w:val="ListBullet"/>
        <w:spacing w:after="40"/>
      </w:pPr>
      <w:r>
        <w:t>The lightweight learned Decision Tree demonstrates that heuristic eviction can be framed as a supervised classification task without future-information leakage. While its performance (1,075 faults) did not surpass LRU due to feature simplicity and training lag, periodic retraining maintained stable performance across an abrupt workload shift.</w:t>
      </w:r>
    </w:p>
    <w:p>
      <w:pPr>
        <w:pStyle w:val="Heading1"/>
        <w:keepNext/>
        <w:spacing w:before="280" w:after="80"/>
      </w:pPr>
      <w:r>
        <w:rPr>
          <w:rFonts w:ascii="Times New Roman" w:hAnsi="Times New Roman"/>
          <w:b/>
          <w:color w:val="111827"/>
          <w:sz w:val="26"/>
        </w:rPr>
        <w:t>References</w:t>
      </w:r>
    </w:p>
    <w:p>
      <w:pPr>
        <w:spacing w:after="60"/>
        <w:ind w:left="360" w:hanging="360"/>
      </w:pPr>
      <w:r>
        <w:rPr>
          <w:sz w:val="19"/>
        </w:rPr>
        <w:t>[1] L. A. Bélády, 'A study of replacement algorithms for a virtual-storage computer,' IBM Systems Journal, vol. 5, no. 2, pp. 78–101, 1966. doi: 10.1147/sj.52.0078.</w:t>
      </w:r>
    </w:p>
    <w:p>
      <w:pPr>
        <w:spacing w:after="60"/>
        <w:ind w:left="360" w:hanging="360"/>
      </w:pPr>
      <w:r>
        <w:rPr>
          <w:sz w:val="19"/>
        </w:rPr>
        <w:t>[2] P. J. Denning, 'The working set model for program behavior,' Communications of the ACM, vol. 11, no. 5, pp. 323–333, May 1968. doi: 10.1145/363095.363141.</w:t>
      </w:r>
    </w:p>
    <w:p>
      <w:pPr>
        <w:spacing w:after="60"/>
        <w:ind w:left="360" w:hanging="360"/>
      </w:pPr>
      <w:r>
        <w:rPr>
          <w:sz w:val="19"/>
        </w:rPr>
        <w:t>[3] D. D. Sleator and R. E. Tarjan, 'Amortized efficiency of list update and paging rules,' Communications of the ACM, vol. 28, no. 2, pp. 202–208, Feb. 1985. doi: 10.1145/2786.2793.</w:t>
      </w:r>
    </w:p>
    <w:p>
      <w:pPr>
        <w:spacing w:after="60"/>
        <w:ind w:left="360" w:hanging="360"/>
      </w:pPr>
      <w:r>
        <w:rPr>
          <w:sz w:val="19"/>
        </w:rPr>
        <w:t>[4] M. Mitzenmacher, 'Scheduling with predictions and the price of misprediction,' in Proc. 11th Innovations in Theoretical Computer Science Conf. (ITCS), vol. 151, pp. 14:1–14:18, 2020.</w:t>
      </w:r>
    </w:p>
    <w:p>
      <w:pPr>
        <w:spacing w:after="60"/>
        <w:ind w:left="360" w:hanging="360"/>
      </w:pPr>
      <w:r>
        <w:rPr>
          <w:sz w:val="19"/>
        </w:rPr>
        <w:t>[5] T. Kraska, A. Beutel, E. H. Chi, J. Dean, and N. Polyzotis, 'The case for learned index structures,' in Proc. ACM SIGMOD Int. Conf. on Management of Data, pp. 489–504, 2018. doi: 10.1145/3183713.3196909.</w:t>
      </w:r>
    </w:p>
    <w:p>
      <w:pPr>
        <w:spacing w:after="60"/>
        <w:ind w:left="360" w:hanging="360"/>
      </w:pPr>
      <w:r>
        <w:rPr>
          <w:sz w:val="19"/>
        </w:rPr>
        <w:t>[6] H. Vietri, V. Senguttuvan, P. J. Nair, and D. Jimenez, 'Driving cache replacement with machine learning,' in Proc. 51st Annual IEEE/ACM Int. Symp. on Microarchitecture (MICRO), pp. 434–445, 2018.</w:t>
      </w:r>
    </w:p>
    <w:p>
      <w:pPr>
        <w:spacing w:after="60"/>
        <w:ind w:left="360" w:hanging="360"/>
      </w:pPr>
      <w:r>
        <w:rPr>
          <w:sz w:val="19"/>
        </w:rPr>
        <w:t>[7] A. Silberschatz, P. B. Galvin, and G. Gagne, Operating System Concepts, 10th ed. Hoboken, NJ: John Wiley &amp; Sons, 2018.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