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Agentic AI Product Design Requirements (PDR)</w:t>
      </w:r>
    </w:p>
    <w:p>
      <w:r>
        <w:rPr>
          <w:rFonts w:ascii="Calibri" w:hAnsi="Calibri"/>
          <w:color w:val="64748B"/>
          <w:sz w:val="22"/>
        </w:rPr>
        <w:t>Implementation blueprint for the Company AP Automation human + AI agent workflow</w:t>
      </w:r>
    </w:p>
    <w:p>
      <w:r>
        <w:rPr>
          <w:color w:val="64748B"/>
          <w:sz w:val="18"/>
        </w:rPr>
        <w:t>Generated: 21 May 2026 | Project: Company AP Automation</w:t>
      </w:r>
    </w:p>
    <w:p>
      <w:pPr>
        <w:pStyle w:val="Heading1"/>
      </w:pPr>
      <w:r>
        <w:t>1. Executive Summary</w:t>
      </w:r>
    </w:p>
    <w:p>
      <w:r>
        <w:t>This PDR defines the next implementation scope for adding Agentic AI capabilities to the AP Automation system. The objective is to reduce manual finance operations while keeping department head approval, CFO payment sign-off, vendor bank-account changes, tax overrides and high-value payment release under mandatory human control.</w:t>
      </w:r>
    </w:p>
    <w:p>
      <w:r>
        <w:drawing>
          <wp:inline xmlns:a="http://schemas.openxmlformats.org/drawingml/2006/main" xmlns:pic="http://schemas.openxmlformats.org/drawingml/2006/picture">
            <wp:extent cx="6035040" cy="3866198"/>
            <wp:docPr id="1" name="Picture 1"/>
            <wp:cNvGraphicFramePr>
              <a:graphicFrameLocks noChangeAspect="1"/>
            </wp:cNvGraphicFramePr>
            <a:graphic>
              <a:graphicData uri="http://schemas.openxmlformats.org/drawingml/2006/picture">
                <pic:pic>
                  <pic:nvPicPr>
                    <pic:cNvPr id="0" name="08_human_agent_swimlane.jpg"/>
                    <pic:cNvPicPr/>
                  </pic:nvPicPr>
                  <pic:blipFill>
                    <a:blip r:embed="rId9"/>
                    <a:stretch>
                      <a:fillRect/>
                    </a:stretch>
                  </pic:blipFill>
                  <pic:spPr>
                    <a:xfrm>
                      <a:off x="0" y="0"/>
                      <a:ext cx="6035040" cy="3866198"/>
                    </a:xfrm>
                    <a:prstGeom prst="rect"/>
                  </pic:spPr>
                </pic:pic>
              </a:graphicData>
            </a:graphic>
          </wp:inline>
        </w:drawing>
      </w:r>
    </w:p>
    <w:p>
      <w:pPr>
        <w:jc w:val="center"/>
      </w:pPr>
      <w:r>
        <w:rPr>
          <w:color w:val="64748B"/>
          <w:sz w:val="16"/>
        </w:rPr>
        <w:t>Target human + AI agent swimlane</w:t>
      </w:r>
    </w:p>
    <w:p>
      <w:pPr>
        <w:pStyle w:val="Heading1"/>
      </w:pPr>
      <w:r>
        <w:t>2. Current System Baseline</w:t>
      </w:r>
    </w:p>
    <w:p>
      <w:pPr>
        <w:pStyle w:val="ListBullet"/>
      </w:pPr>
      <w:r>
        <w:t>Frontend: React screens for login/register, upload, invoice detail, AP/head board, ticket detail, operations and dashboard.</w:t>
      </w:r>
    </w:p>
    <w:p>
      <w:pPr>
        <w:pStyle w:val="ListBullet"/>
      </w:pPr>
      <w:r>
        <w:t>Backend: NestJS modules for auth, invoices, approvals, tickets, vendors, departments, payments and full-scope operations.</w:t>
      </w:r>
    </w:p>
    <w:p>
      <w:pPr>
        <w:pStyle w:val="ListBullet"/>
      </w:pPr>
      <w:r>
        <w:t>Workflow: invoice/PO creation, department head approval, AP document review, vendor/PO/account verification, WHT, voucher, Xero, payment gateway/bank execution and close.</w:t>
      </w:r>
    </w:p>
    <w:p>
      <w:pPr>
        <w:pStyle w:val="ListBullet"/>
      </w:pPr>
      <w:r>
        <w:t>Data model: Prisma models for Invoice, PurchaseOrder, PaymentTicket, SupportingDocument, TicketActivity, PaymentBatch, PaymentRecord, Notification and XeroConnection.</w:t>
      </w:r>
    </w:p>
    <w:p>
      <w:pPr>
        <w:pStyle w:val="ListBullet"/>
      </w:pPr>
      <w:r>
        <w:t>Controls: role-based transitions, field-level edit restrictions, comments, attachments, downloadable documents and locked payment-complete tickets.</w:t>
      </w:r>
    </w:p>
    <w:p>
      <w:pPr>
        <w:pStyle w:val="Heading1"/>
      </w:pPr>
      <w:r>
        <w:t>3. Target Agentic Operating Model</w:t>
      </w:r>
    </w:p>
    <w:p>
      <w:r>
        <w:t>The workflow should evolve from a manually operated Kanban board into an event-driven agentic operating layer. Agents listen to workflow events, perform bounded analysis or automation, write recommendations and low-risk updates through the existing API, and escalate high-risk decisions to humans.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Layer</w:t>
            </w:r>
          </w:p>
        </w:tc>
        <w:tc>
          <w:tcPr>
            <w:tcW w:type="dxa" w:w="3312"/>
            <w:vAlign w:val="center"/>
            <w:shd w:fill="F2F4F7"/>
          </w:tcPr>
          <w:p>
            <w:r/>
            <w:r>
              <w:rPr>
                <w:rFonts w:ascii="Calibri" w:hAnsi="Calibri"/>
                <w:b/>
                <w:color w:val="0B2545"/>
                <w:sz w:val="19"/>
              </w:rPr>
              <w:t>Responsibility</w:t>
            </w:r>
          </w:p>
        </w:tc>
        <w:tc>
          <w:tcPr>
            <w:tcW w:type="dxa" w:w="3312"/>
            <w:vAlign w:val="center"/>
            <w:shd w:fill="F2F4F7"/>
          </w:tcPr>
          <w:p>
            <w:r/>
            <w:r>
              <w:rPr>
                <w:rFonts w:ascii="Calibri" w:hAnsi="Calibri"/>
                <w:b/>
                <w:color w:val="0B2545"/>
                <w:sz w:val="19"/>
              </w:rPr>
              <w:t>Implementation Direction</w:t>
            </w:r>
          </w:p>
        </w:tc>
      </w:tr>
      <w:tr>
        <w:tc>
          <w:tcPr>
            <w:tcW w:type="dxa" w:w="3312"/>
            <w:vAlign w:val="center"/>
          </w:tcPr>
          <w:p>
            <w:r/>
            <w:r>
              <w:rPr>
                <w:rFonts w:ascii="Calibri" w:hAnsi="Calibri"/>
                <w:b w:val="0"/>
                <w:color w:val="334155"/>
                <w:sz w:val="19"/>
              </w:rPr>
              <w:t>Workflow engine</w:t>
            </w:r>
          </w:p>
        </w:tc>
        <w:tc>
          <w:tcPr>
            <w:tcW w:type="dxa" w:w="3312"/>
            <w:vAlign w:val="center"/>
          </w:tcPr>
          <w:p>
            <w:r/>
            <w:r>
              <w:rPr>
                <w:rFonts w:ascii="Calibri" w:hAnsi="Calibri"/>
                <w:b w:val="0"/>
                <w:color w:val="334155"/>
                <w:sz w:val="19"/>
              </w:rPr>
              <w:t>Keeps ticket status, permissions and audit trail authoritative.</w:t>
            </w:r>
          </w:p>
        </w:tc>
        <w:tc>
          <w:tcPr>
            <w:tcW w:type="dxa" w:w="3312"/>
            <w:vAlign w:val="center"/>
          </w:tcPr>
          <w:p>
            <w:r/>
            <w:r>
              <w:rPr>
                <w:rFonts w:ascii="Calibri" w:hAnsi="Calibri"/>
                <w:b w:val="0"/>
                <w:color w:val="334155"/>
                <w:sz w:val="19"/>
              </w:rPr>
              <w:t>Existing NestJS ticket/invoice services remain source of truth.</w:t>
            </w:r>
          </w:p>
        </w:tc>
      </w:tr>
      <w:tr>
        <w:tc>
          <w:tcPr>
            <w:tcW w:type="dxa" w:w="3312"/>
            <w:vAlign w:val="center"/>
          </w:tcPr>
          <w:p>
            <w:r/>
            <w:r>
              <w:rPr>
                <w:rFonts w:ascii="Calibri" w:hAnsi="Calibri"/>
                <w:b w:val="0"/>
                <w:color w:val="334155"/>
                <w:sz w:val="19"/>
              </w:rPr>
              <w:t>Agent orchestrator</w:t>
            </w:r>
          </w:p>
        </w:tc>
        <w:tc>
          <w:tcPr>
            <w:tcW w:type="dxa" w:w="3312"/>
            <w:vAlign w:val="center"/>
          </w:tcPr>
          <w:p>
            <w:r/>
            <w:r>
              <w:rPr>
                <w:rFonts w:ascii="Calibri" w:hAnsi="Calibri"/>
                <w:b w:val="0"/>
                <w:color w:val="334155"/>
                <w:sz w:val="19"/>
              </w:rPr>
              <w:t>Runs agents when invoice/ticket/payment events occur.</w:t>
            </w:r>
          </w:p>
        </w:tc>
        <w:tc>
          <w:tcPr>
            <w:tcW w:type="dxa" w:w="3312"/>
            <w:vAlign w:val="center"/>
          </w:tcPr>
          <w:p>
            <w:r/>
            <w:r>
              <w:rPr>
                <w:rFonts w:ascii="Calibri" w:hAnsi="Calibri"/>
                <w:b w:val="0"/>
                <w:color w:val="334155"/>
                <w:sz w:val="19"/>
              </w:rPr>
              <w:t>Add background worker with event queue, idempotent job table and retry policy.</w:t>
            </w:r>
          </w:p>
        </w:tc>
      </w:tr>
      <w:tr>
        <w:tc>
          <w:tcPr>
            <w:tcW w:type="dxa" w:w="3312"/>
            <w:vAlign w:val="center"/>
          </w:tcPr>
          <w:p>
            <w:r/>
            <w:r>
              <w:rPr>
                <w:rFonts w:ascii="Calibri" w:hAnsi="Calibri"/>
                <w:b w:val="0"/>
                <w:color w:val="334155"/>
                <w:sz w:val="19"/>
              </w:rPr>
              <w:t>AI agents</w:t>
            </w:r>
          </w:p>
        </w:tc>
        <w:tc>
          <w:tcPr>
            <w:tcW w:type="dxa" w:w="3312"/>
            <w:vAlign w:val="center"/>
          </w:tcPr>
          <w:p>
            <w:r/>
            <w:r>
              <w:rPr>
                <w:rFonts w:ascii="Calibri" w:hAnsi="Calibri"/>
                <w:b w:val="0"/>
                <w:color w:val="334155"/>
                <w:sz w:val="19"/>
              </w:rPr>
              <w:t>Extract, validate, recommend, notify, reconcile and monitor.</w:t>
            </w:r>
          </w:p>
        </w:tc>
        <w:tc>
          <w:tcPr>
            <w:tcW w:type="dxa" w:w="3312"/>
            <w:vAlign w:val="center"/>
          </w:tcPr>
          <w:p>
            <w:r/>
            <w:r>
              <w:rPr>
                <w:rFonts w:ascii="Calibri" w:hAnsi="Calibri"/>
                <w:b w:val="0"/>
                <w:color w:val="334155"/>
                <w:sz w:val="19"/>
              </w:rPr>
              <w:t>Agents call approved tools/APIs; outputs stored as recommendations and activity records.</w:t>
            </w:r>
          </w:p>
        </w:tc>
      </w:tr>
      <w:tr>
        <w:tc>
          <w:tcPr>
            <w:tcW w:type="dxa" w:w="3312"/>
            <w:vAlign w:val="center"/>
          </w:tcPr>
          <w:p>
            <w:r/>
            <w:r>
              <w:rPr>
                <w:rFonts w:ascii="Calibri" w:hAnsi="Calibri"/>
                <w:b w:val="0"/>
                <w:color w:val="334155"/>
                <w:sz w:val="19"/>
              </w:rPr>
              <w:t>Human approvals</w:t>
            </w:r>
          </w:p>
        </w:tc>
        <w:tc>
          <w:tcPr>
            <w:tcW w:type="dxa" w:w="3312"/>
            <w:vAlign w:val="center"/>
          </w:tcPr>
          <w:p>
            <w:r/>
            <w:r>
              <w:rPr>
                <w:rFonts w:ascii="Calibri" w:hAnsi="Calibri"/>
                <w:b w:val="0"/>
                <w:color w:val="334155"/>
                <w:sz w:val="19"/>
              </w:rPr>
              <w:t>Approve/reject department requests and authorize payment.</w:t>
            </w:r>
          </w:p>
        </w:tc>
        <w:tc>
          <w:tcPr>
            <w:tcW w:type="dxa" w:w="3312"/>
            <w:vAlign w:val="center"/>
          </w:tcPr>
          <w:p>
            <w:r/>
            <w:r>
              <w:rPr>
                <w:rFonts w:ascii="Calibri" w:hAnsi="Calibri"/>
                <w:b w:val="0"/>
                <w:color w:val="334155"/>
                <w:sz w:val="19"/>
              </w:rPr>
              <w:t>Department Head and CFO actions stay manual with explicit UI gates.</w:t>
            </w:r>
          </w:p>
        </w:tc>
      </w:tr>
    </w:tbl>
    <w:p/>
    <w:p>
      <w:pPr>
        <w:pStyle w:val="Heading1"/>
      </w:pPr>
      <w:r>
        <w:t>4. AI Agent Roles and Responsibilities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F2F4F7"/>
          </w:tcPr>
          <w:p>
            <w:r/>
            <w:r>
              <w:rPr>
                <w:rFonts w:ascii="Calibri" w:hAnsi="Calibri"/>
                <w:b/>
                <w:color w:val="0B2545"/>
                <w:sz w:val="19"/>
              </w:rPr>
              <w:t>Agent</w:t>
            </w:r>
          </w:p>
        </w:tc>
        <w:tc>
          <w:tcPr>
            <w:tcW w:type="dxa" w:w="2484"/>
            <w:vAlign w:val="center"/>
            <w:shd w:fill="F2F4F7"/>
          </w:tcPr>
          <w:p>
            <w:r/>
            <w:r>
              <w:rPr>
                <w:rFonts w:ascii="Calibri" w:hAnsi="Calibri"/>
                <w:b/>
                <w:color w:val="0B2545"/>
                <w:sz w:val="19"/>
              </w:rPr>
              <w:t>Trigger</w:t>
            </w:r>
          </w:p>
        </w:tc>
        <w:tc>
          <w:tcPr>
            <w:tcW w:type="dxa" w:w="2484"/>
            <w:vAlign w:val="center"/>
            <w:shd w:fill="F2F4F7"/>
          </w:tcPr>
          <w:p>
            <w:r/>
            <w:r>
              <w:rPr>
                <w:rFonts w:ascii="Calibri" w:hAnsi="Calibri"/>
                <w:b/>
                <w:color w:val="0B2545"/>
                <w:sz w:val="19"/>
              </w:rPr>
              <w:t>Responsibilities</w:t>
            </w:r>
          </w:p>
        </w:tc>
        <w:tc>
          <w:tcPr>
            <w:tcW w:type="dxa" w:w="2484"/>
            <w:vAlign w:val="center"/>
            <w:shd w:fill="F2F4F7"/>
          </w:tcPr>
          <w:p>
            <w:r/>
            <w:r>
              <w:rPr>
                <w:rFonts w:ascii="Calibri" w:hAnsi="Calibri"/>
                <w:b/>
                <w:color w:val="0B2545"/>
                <w:sz w:val="19"/>
              </w:rPr>
              <w:t>Output</w:t>
            </w:r>
          </w:p>
        </w:tc>
      </w:tr>
      <w:tr>
        <w:tc>
          <w:tcPr>
            <w:tcW w:type="dxa" w:w="2484"/>
            <w:vAlign w:val="center"/>
          </w:tcPr>
          <w:p>
            <w:r/>
            <w:r>
              <w:rPr>
                <w:rFonts w:ascii="Calibri" w:hAnsi="Calibri"/>
                <w:b w:val="0"/>
                <w:color w:val="334155"/>
                <w:sz w:val="19"/>
              </w:rPr>
              <w:t>Document Intake Agent</w:t>
            </w:r>
          </w:p>
        </w:tc>
        <w:tc>
          <w:tcPr>
            <w:tcW w:type="dxa" w:w="2484"/>
            <w:vAlign w:val="center"/>
          </w:tcPr>
          <w:p>
            <w:r/>
            <w:r>
              <w:rPr>
                <w:rFonts w:ascii="Calibri" w:hAnsi="Calibri"/>
                <w:b w:val="0"/>
                <w:color w:val="334155"/>
                <w:sz w:val="19"/>
              </w:rPr>
              <w:t>Invoice upload or email import</w:t>
            </w:r>
          </w:p>
        </w:tc>
        <w:tc>
          <w:tcPr>
            <w:tcW w:type="dxa" w:w="2484"/>
            <w:vAlign w:val="center"/>
          </w:tcPr>
          <w:p>
            <w:r/>
            <w:r>
              <w:rPr>
                <w:rFonts w:ascii="Calibri" w:hAnsi="Calibri"/>
                <w:b w:val="0"/>
                <w:color w:val="334155"/>
                <w:sz w:val="19"/>
              </w:rPr>
              <w:t>Classify file, OCR PDF/image/slip, extract vendor, amount, invoice date, account, PO and bill type.</w:t>
            </w:r>
          </w:p>
        </w:tc>
        <w:tc>
          <w:tcPr>
            <w:tcW w:type="dxa" w:w="2484"/>
            <w:vAlign w:val="center"/>
          </w:tcPr>
          <w:p>
            <w:r/>
            <w:r>
              <w:rPr>
                <w:rFonts w:ascii="Calibri" w:hAnsi="Calibri"/>
                <w:b w:val="0"/>
                <w:color w:val="334155"/>
                <w:sz w:val="19"/>
              </w:rPr>
              <w:t>Extracted fields, confidence score, document classification.</w:t>
            </w:r>
          </w:p>
        </w:tc>
      </w:tr>
      <w:tr>
        <w:tc>
          <w:tcPr>
            <w:tcW w:type="dxa" w:w="2484"/>
            <w:vAlign w:val="center"/>
          </w:tcPr>
          <w:p>
            <w:r/>
            <w:r>
              <w:rPr>
                <w:rFonts w:ascii="Calibri" w:hAnsi="Calibri"/>
                <w:b w:val="0"/>
                <w:color w:val="334155"/>
                <w:sz w:val="19"/>
              </w:rPr>
              <w:t>Validation/Risk Agent</w:t>
            </w:r>
          </w:p>
        </w:tc>
        <w:tc>
          <w:tcPr>
            <w:tcW w:type="dxa" w:w="2484"/>
            <w:vAlign w:val="center"/>
          </w:tcPr>
          <w:p>
            <w:r/>
            <w:r>
              <w:rPr>
                <w:rFonts w:ascii="Calibri" w:hAnsi="Calibri"/>
                <w:b w:val="0"/>
                <w:color w:val="334155"/>
                <w:sz w:val="19"/>
              </w:rPr>
              <w:t>Invoice draft created or edited</w:t>
            </w:r>
          </w:p>
        </w:tc>
        <w:tc>
          <w:tcPr>
            <w:tcW w:type="dxa" w:w="2484"/>
            <w:vAlign w:val="center"/>
          </w:tcPr>
          <w:p>
            <w:r/>
            <w:r>
              <w:rPr>
                <w:rFonts w:ascii="Calibri" w:hAnsi="Calibri"/>
                <w:b w:val="0"/>
                <w:color w:val="334155"/>
                <w:sz w:val="19"/>
              </w:rPr>
              <w:t>Check duplicate invoice, missing docs, PO sync, vendor match, account mismatch and old sheet references.</w:t>
            </w:r>
          </w:p>
        </w:tc>
        <w:tc>
          <w:tcPr>
            <w:tcW w:type="dxa" w:w="2484"/>
            <w:vAlign w:val="center"/>
          </w:tcPr>
          <w:p>
            <w:r/>
            <w:r>
              <w:rPr>
                <w:rFonts w:ascii="Calibri" w:hAnsi="Calibri"/>
                <w:b w:val="0"/>
                <w:color w:val="334155"/>
                <w:sz w:val="19"/>
              </w:rPr>
              <w:t>Validation checklist, risk score, missing-doc list.</w:t>
            </w:r>
          </w:p>
        </w:tc>
      </w:tr>
      <w:tr>
        <w:tc>
          <w:tcPr>
            <w:tcW w:type="dxa" w:w="2484"/>
            <w:vAlign w:val="center"/>
          </w:tcPr>
          <w:p>
            <w:r/>
            <w:r>
              <w:rPr>
                <w:rFonts w:ascii="Calibri" w:hAnsi="Calibri"/>
                <w:b w:val="0"/>
                <w:color w:val="334155"/>
                <w:sz w:val="19"/>
              </w:rPr>
              <w:t>Approval Routing Agent</w:t>
            </w:r>
          </w:p>
        </w:tc>
        <w:tc>
          <w:tcPr>
            <w:tcW w:type="dxa" w:w="2484"/>
            <w:vAlign w:val="center"/>
          </w:tcPr>
          <w:p>
            <w:r/>
            <w:r>
              <w:rPr>
                <w:rFonts w:ascii="Calibri" w:hAnsi="Calibri"/>
                <w:b w:val="0"/>
                <w:color w:val="334155"/>
                <w:sz w:val="19"/>
              </w:rPr>
              <w:t>Ready for head approval</w:t>
            </w:r>
          </w:p>
        </w:tc>
        <w:tc>
          <w:tcPr>
            <w:tcW w:type="dxa" w:w="2484"/>
            <w:vAlign w:val="center"/>
          </w:tcPr>
          <w:p>
            <w:r/>
            <w:r>
              <w:rPr>
                <w:rFonts w:ascii="Calibri" w:hAnsi="Calibri"/>
                <w:b w:val="0"/>
                <w:color w:val="334155"/>
                <w:sz w:val="19"/>
              </w:rPr>
              <w:t>Route to correct department head, calculate SLA, remind/escalate overdue approvals.</w:t>
            </w:r>
          </w:p>
        </w:tc>
        <w:tc>
          <w:tcPr>
            <w:tcW w:type="dxa" w:w="2484"/>
            <w:vAlign w:val="center"/>
          </w:tcPr>
          <w:p>
            <w:r/>
            <w:r>
              <w:rPr>
                <w:rFonts w:ascii="Calibri" w:hAnsi="Calibri"/>
                <w:b w:val="0"/>
                <w:color w:val="334155"/>
                <w:sz w:val="19"/>
              </w:rPr>
              <w:t>Approval task, reminders, escalation activity.</w:t>
            </w:r>
          </w:p>
        </w:tc>
      </w:tr>
      <w:tr>
        <w:tc>
          <w:tcPr>
            <w:tcW w:type="dxa" w:w="2484"/>
            <w:vAlign w:val="center"/>
          </w:tcPr>
          <w:p>
            <w:r/>
            <w:r>
              <w:rPr>
                <w:rFonts w:ascii="Calibri" w:hAnsi="Calibri"/>
                <w:b w:val="0"/>
                <w:color w:val="334155"/>
                <w:sz w:val="19"/>
              </w:rPr>
              <w:t>AP Finance Copilot</w:t>
            </w:r>
          </w:p>
        </w:tc>
        <w:tc>
          <w:tcPr>
            <w:tcW w:type="dxa" w:w="2484"/>
            <w:vAlign w:val="center"/>
          </w:tcPr>
          <w:p>
            <w:r/>
            <w:r>
              <w:rPr>
                <w:rFonts w:ascii="Calibri" w:hAnsi="Calibri"/>
                <w:b w:val="0"/>
                <w:color w:val="334155"/>
                <w:sz w:val="19"/>
              </w:rPr>
              <w:t>Ticket enters AP review</w:t>
            </w:r>
          </w:p>
        </w:tc>
        <w:tc>
          <w:tcPr>
            <w:tcW w:type="dxa" w:w="2484"/>
            <w:vAlign w:val="center"/>
          </w:tcPr>
          <w:p>
            <w:r/>
            <w:r>
              <w:rPr>
                <w:rFonts w:ascii="Calibri" w:hAnsi="Calibri"/>
                <w:b w:val="0"/>
                <w:color w:val="334155"/>
                <w:sz w:val="19"/>
              </w:rPr>
              <w:t>Recommend next status, highlight blockers, summarize invoice/PO/vendor context.</w:t>
            </w:r>
          </w:p>
        </w:tc>
        <w:tc>
          <w:tcPr>
            <w:tcW w:type="dxa" w:w="2484"/>
            <w:vAlign w:val="center"/>
          </w:tcPr>
          <w:p>
            <w:r/>
            <w:r>
              <w:rPr>
                <w:rFonts w:ascii="Calibri" w:hAnsi="Calibri"/>
                <w:b w:val="0"/>
                <w:color w:val="334155"/>
                <w:sz w:val="19"/>
              </w:rPr>
              <w:t>AP recommendation panel and suggested action.</w:t>
            </w:r>
          </w:p>
        </w:tc>
      </w:tr>
      <w:tr>
        <w:tc>
          <w:tcPr>
            <w:tcW w:type="dxa" w:w="2484"/>
            <w:vAlign w:val="center"/>
          </w:tcPr>
          <w:p>
            <w:r/>
            <w:r>
              <w:rPr>
                <w:rFonts w:ascii="Calibri" w:hAnsi="Calibri"/>
                <w:b w:val="0"/>
                <w:color w:val="334155"/>
                <w:sz w:val="19"/>
              </w:rPr>
              <w:t>WHT/Voucher Agent</w:t>
            </w:r>
          </w:p>
        </w:tc>
        <w:tc>
          <w:tcPr>
            <w:tcW w:type="dxa" w:w="2484"/>
            <w:vAlign w:val="center"/>
          </w:tcPr>
          <w:p>
            <w:r/>
            <w:r>
              <w:rPr>
                <w:rFonts w:ascii="Calibri" w:hAnsi="Calibri"/>
                <w:b w:val="0"/>
                <w:color w:val="334155"/>
                <w:sz w:val="19"/>
              </w:rPr>
              <w:t>Ticket enters WHT/voucher stage</w:t>
            </w:r>
          </w:p>
        </w:tc>
        <w:tc>
          <w:tcPr>
            <w:tcW w:type="dxa" w:w="2484"/>
            <w:vAlign w:val="center"/>
          </w:tcPr>
          <w:p>
            <w:r/>
            <w:r>
              <w:rPr>
                <w:rFonts w:ascii="Calibri" w:hAnsi="Calibri"/>
                <w:b w:val="0"/>
                <w:color w:val="334155"/>
                <w:sz w:val="19"/>
              </w:rPr>
              <w:t>Suggest filer/non-filer rate, WHT amount, net payable, voucher draft and GL/expense mapping.</w:t>
            </w:r>
          </w:p>
        </w:tc>
        <w:tc>
          <w:tcPr>
            <w:tcW w:type="dxa" w:w="2484"/>
            <w:vAlign w:val="center"/>
          </w:tcPr>
          <w:p>
            <w:r/>
            <w:r>
              <w:rPr>
                <w:rFonts w:ascii="Calibri" w:hAnsi="Calibri"/>
                <w:b w:val="0"/>
                <w:color w:val="334155"/>
                <w:sz w:val="19"/>
              </w:rPr>
              <w:t>Tax/voucher draft requiring AP confirmation.</w:t>
            </w:r>
          </w:p>
        </w:tc>
      </w:tr>
      <w:tr>
        <w:tc>
          <w:tcPr>
            <w:tcW w:type="dxa" w:w="2484"/>
            <w:vAlign w:val="center"/>
          </w:tcPr>
          <w:p>
            <w:r/>
            <w:r>
              <w:rPr>
                <w:rFonts w:ascii="Calibri" w:hAnsi="Calibri"/>
                <w:b w:val="0"/>
                <w:color w:val="334155"/>
                <w:sz w:val="19"/>
              </w:rPr>
              <w:t>Xero Sync Agent</w:t>
            </w:r>
          </w:p>
        </w:tc>
        <w:tc>
          <w:tcPr>
            <w:tcW w:type="dxa" w:w="2484"/>
            <w:vAlign w:val="center"/>
          </w:tcPr>
          <w:p>
            <w:r/>
            <w:r>
              <w:rPr>
                <w:rFonts w:ascii="Calibri" w:hAnsi="Calibri"/>
                <w:b w:val="0"/>
                <w:color w:val="334155"/>
                <w:sz w:val="19"/>
              </w:rPr>
              <w:t>Ready for Xero bill or paid marking</w:t>
            </w:r>
          </w:p>
        </w:tc>
        <w:tc>
          <w:tcPr>
            <w:tcW w:type="dxa" w:w="2484"/>
            <w:vAlign w:val="center"/>
          </w:tcPr>
          <w:p>
            <w:r/>
            <w:r>
              <w:rPr>
                <w:rFonts w:ascii="Calibri" w:hAnsi="Calibri"/>
                <w:b w:val="0"/>
                <w:color w:val="334155"/>
                <w:sz w:val="19"/>
              </w:rPr>
              <w:t>Prepare bill payload, detect sync errors, refresh token, retry safe failures.</w:t>
            </w:r>
          </w:p>
        </w:tc>
        <w:tc>
          <w:tcPr>
            <w:tcW w:type="dxa" w:w="2484"/>
            <w:vAlign w:val="center"/>
          </w:tcPr>
          <w:p>
            <w:r/>
            <w:r>
              <w:rPr>
                <w:rFonts w:ascii="Calibri" w:hAnsi="Calibri"/>
                <w:b w:val="0"/>
                <w:color w:val="334155"/>
                <w:sz w:val="19"/>
              </w:rPr>
              <w:t>Xero bill/payment status and error resolution guidance.</w:t>
            </w:r>
          </w:p>
        </w:tc>
      </w:tr>
      <w:tr>
        <w:tc>
          <w:tcPr>
            <w:tcW w:type="dxa" w:w="2484"/>
            <w:vAlign w:val="center"/>
          </w:tcPr>
          <w:p>
            <w:r/>
            <w:r>
              <w:rPr>
                <w:rFonts w:ascii="Calibri" w:hAnsi="Calibri"/>
                <w:b w:val="0"/>
                <w:color w:val="334155"/>
                <w:sz w:val="19"/>
              </w:rPr>
              <w:t>Payment Gateway Agent</w:t>
            </w:r>
          </w:p>
        </w:tc>
        <w:tc>
          <w:tcPr>
            <w:tcW w:type="dxa" w:w="2484"/>
            <w:vAlign w:val="center"/>
          </w:tcPr>
          <w:p>
            <w:r/>
            <w:r>
              <w:rPr>
                <w:rFonts w:ascii="Calibri" w:hAnsi="Calibri"/>
                <w:b w:val="0"/>
                <w:color w:val="334155"/>
                <w:sz w:val="19"/>
              </w:rPr>
              <w:t>Payment prepared or bank confirmation received</w:t>
            </w:r>
          </w:p>
        </w:tc>
        <w:tc>
          <w:tcPr>
            <w:tcW w:type="dxa" w:w="2484"/>
            <w:vAlign w:val="center"/>
          </w:tcPr>
          <w:p>
            <w:r/>
            <w:r>
              <w:rPr>
                <w:rFonts w:ascii="Calibri" w:hAnsi="Calibri"/>
                <w:b w:val="0"/>
                <w:color w:val="334155"/>
                <w:sz w:val="19"/>
              </w:rPr>
              <w:t>Validate payment batch data, capture payment confirmation, reconcile with ticket and Xero status.</w:t>
            </w:r>
          </w:p>
        </w:tc>
        <w:tc>
          <w:tcPr>
            <w:tcW w:type="dxa" w:w="2484"/>
            <w:vAlign w:val="center"/>
          </w:tcPr>
          <w:p>
            <w:r/>
            <w:r>
              <w:rPr>
                <w:rFonts w:ascii="Calibri" w:hAnsi="Calibri"/>
                <w:b w:val="0"/>
                <w:color w:val="334155"/>
                <w:sz w:val="19"/>
              </w:rPr>
              <w:t>Payment execution status and reconciliation result.</w:t>
            </w:r>
          </w:p>
        </w:tc>
      </w:tr>
      <w:tr>
        <w:tc>
          <w:tcPr>
            <w:tcW w:type="dxa" w:w="2484"/>
            <w:vAlign w:val="center"/>
          </w:tcPr>
          <w:p>
            <w:r/>
            <w:r>
              <w:rPr>
                <w:rFonts w:ascii="Calibri" w:hAnsi="Calibri"/>
                <w:b w:val="0"/>
                <w:color w:val="334155"/>
                <w:sz w:val="19"/>
              </w:rPr>
              <w:t>Notification Agent</w:t>
            </w:r>
          </w:p>
        </w:tc>
        <w:tc>
          <w:tcPr>
            <w:tcW w:type="dxa" w:w="2484"/>
            <w:vAlign w:val="center"/>
          </w:tcPr>
          <w:p>
            <w:r/>
            <w:r>
              <w:rPr>
                <w:rFonts w:ascii="Calibri" w:hAnsi="Calibri"/>
                <w:b w:val="0"/>
                <w:color w:val="334155"/>
                <w:sz w:val="19"/>
              </w:rPr>
              <w:t>Missing docs, approval pending, overdue, close</w:t>
            </w:r>
          </w:p>
        </w:tc>
        <w:tc>
          <w:tcPr>
            <w:tcW w:type="dxa" w:w="2484"/>
            <w:vAlign w:val="center"/>
          </w:tcPr>
          <w:p>
            <w:r/>
            <w:r>
              <w:rPr>
                <w:rFonts w:ascii="Calibri" w:hAnsi="Calibri"/>
                <w:b w:val="0"/>
                <w:color w:val="334155"/>
                <w:sz w:val="19"/>
              </w:rPr>
              <w:t>Send requester/head/AP/CFO notifications, write comments, summarize blockers.</w:t>
            </w:r>
          </w:p>
        </w:tc>
        <w:tc>
          <w:tcPr>
            <w:tcW w:type="dxa" w:w="2484"/>
            <w:vAlign w:val="center"/>
          </w:tcPr>
          <w:p>
            <w:r/>
            <w:r>
              <w:rPr>
                <w:rFonts w:ascii="Calibri" w:hAnsi="Calibri"/>
                <w:b w:val="0"/>
                <w:color w:val="334155"/>
                <w:sz w:val="19"/>
              </w:rPr>
              <w:t>Notifications and audit activity.</w:t>
            </w:r>
          </w:p>
        </w:tc>
      </w:tr>
      <w:tr>
        <w:tc>
          <w:tcPr>
            <w:tcW w:type="dxa" w:w="2484"/>
            <w:vAlign w:val="center"/>
          </w:tcPr>
          <w:p>
            <w:r/>
            <w:r>
              <w:rPr>
                <w:rFonts w:ascii="Calibri" w:hAnsi="Calibri"/>
                <w:b w:val="0"/>
                <w:color w:val="334155"/>
                <w:sz w:val="19"/>
              </w:rPr>
              <w:t>QA/Workflow Agent</w:t>
            </w:r>
          </w:p>
        </w:tc>
        <w:tc>
          <w:tcPr>
            <w:tcW w:type="dxa" w:w="2484"/>
            <w:vAlign w:val="center"/>
          </w:tcPr>
          <w:p>
            <w:r/>
            <w:r>
              <w:rPr>
                <w:rFonts w:ascii="Calibri" w:hAnsi="Calibri"/>
                <w:b w:val="0"/>
                <w:color w:val="334155"/>
                <w:sz w:val="19"/>
              </w:rPr>
              <w:t>Scheduled or after deployment</w:t>
            </w:r>
          </w:p>
        </w:tc>
        <w:tc>
          <w:tcPr>
            <w:tcW w:type="dxa" w:w="2484"/>
            <w:vAlign w:val="center"/>
          </w:tcPr>
          <w:p>
            <w:r/>
            <w:r>
              <w:rPr>
                <w:rFonts w:ascii="Calibri" w:hAnsi="Calibri"/>
                <w:b w:val="0"/>
                <w:color w:val="334155"/>
                <w:sz w:val="19"/>
              </w:rPr>
              <w:t>Run end-to-end test scenarios and validate role permissions/status transitions.</w:t>
            </w:r>
          </w:p>
        </w:tc>
        <w:tc>
          <w:tcPr>
            <w:tcW w:type="dxa" w:w="2484"/>
            <w:vAlign w:val="center"/>
          </w:tcPr>
          <w:p>
            <w:r/>
            <w:r>
              <w:rPr>
                <w:rFonts w:ascii="Calibri" w:hAnsi="Calibri"/>
                <w:b w:val="0"/>
                <w:color w:val="334155"/>
                <w:sz w:val="19"/>
              </w:rPr>
              <w:t>Test report and failed workflow alerts.</w:t>
            </w:r>
          </w:p>
        </w:tc>
      </w:tr>
    </w:tbl>
    <w:p/>
    <w:p>
      <w:pPr>
        <w:pStyle w:val="Heading1"/>
      </w:pPr>
      <w:r>
        <w:t>5. Human-in-the-Loop Rules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Decision</w:t>
            </w:r>
          </w:p>
        </w:tc>
        <w:tc>
          <w:tcPr>
            <w:tcW w:type="dxa" w:w="3312"/>
            <w:vAlign w:val="center"/>
            <w:shd w:fill="F2F4F7"/>
          </w:tcPr>
          <w:p>
            <w:r/>
            <w:r>
              <w:rPr>
                <w:rFonts w:ascii="Calibri" w:hAnsi="Calibri"/>
                <w:b/>
                <w:color w:val="0B2545"/>
                <w:sz w:val="19"/>
              </w:rPr>
              <w:t>Automation Level</w:t>
            </w:r>
          </w:p>
        </w:tc>
        <w:tc>
          <w:tcPr>
            <w:tcW w:type="dxa" w:w="3312"/>
            <w:vAlign w:val="center"/>
            <w:shd w:fill="F2F4F7"/>
          </w:tcPr>
          <w:p>
            <w:r/>
            <w:r>
              <w:rPr>
                <w:rFonts w:ascii="Calibri" w:hAnsi="Calibri"/>
                <w:b/>
                <w:color w:val="0B2545"/>
                <w:sz w:val="19"/>
              </w:rPr>
              <w:t>Reason</w:t>
            </w:r>
          </w:p>
        </w:tc>
      </w:tr>
      <w:tr>
        <w:tc>
          <w:tcPr>
            <w:tcW w:type="dxa" w:w="3312"/>
            <w:vAlign w:val="center"/>
          </w:tcPr>
          <w:p>
            <w:r/>
            <w:r>
              <w:rPr>
                <w:rFonts w:ascii="Calibri" w:hAnsi="Calibri"/>
                <w:b w:val="0"/>
                <w:color w:val="334155"/>
                <w:sz w:val="19"/>
              </w:rPr>
              <w:t>Department head approval/rejection</w:t>
            </w:r>
          </w:p>
        </w:tc>
        <w:tc>
          <w:tcPr>
            <w:tcW w:type="dxa" w:w="3312"/>
            <w:vAlign w:val="center"/>
          </w:tcPr>
          <w:p>
            <w:r/>
            <w:r>
              <w:rPr>
                <w:rFonts w:ascii="Calibri" w:hAnsi="Calibri"/>
                <w:b w:val="0"/>
                <w:color w:val="334155"/>
                <w:sz w:val="19"/>
              </w:rPr>
              <w:t>Human mandatory</w:t>
            </w:r>
          </w:p>
        </w:tc>
        <w:tc>
          <w:tcPr>
            <w:tcW w:type="dxa" w:w="3312"/>
            <w:vAlign w:val="center"/>
          </w:tcPr>
          <w:p>
            <w:r/>
            <w:r>
              <w:rPr>
                <w:rFonts w:ascii="Calibri" w:hAnsi="Calibri"/>
                <w:b w:val="0"/>
                <w:color w:val="334155"/>
                <w:sz w:val="19"/>
              </w:rPr>
              <w:t>Business owner must approve budget/department request.</w:t>
            </w:r>
          </w:p>
        </w:tc>
      </w:tr>
      <w:tr>
        <w:tc>
          <w:tcPr>
            <w:tcW w:type="dxa" w:w="3312"/>
            <w:vAlign w:val="center"/>
          </w:tcPr>
          <w:p>
            <w:r/>
            <w:r>
              <w:rPr>
                <w:rFonts w:ascii="Calibri" w:hAnsi="Calibri"/>
                <w:b w:val="0"/>
                <w:color w:val="334155"/>
                <w:sz w:val="19"/>
              </w:rPr>
              <w:t>CFO payment sign</w:t>
            </w:r>
          </w:p>
        </w:tc>
        <w:tc>
          <w:tcPr>
            <w:tcW w:type="dxa" w:w="3312"/>
            <w:vAlign w:val="center"/>
          </w:tcPr>
          <w:p>
            <w:r/>
            <w:r>
              <w:rPr>
                <w:rFonts w:ascii="Calibri" w:hAnsi="Calibri"/>
                <w:b w:val="0"/>
                <w:color w:val="334155"/>
                <w:sz w:val="19"/>
              </w:rPr>
              <w:t>Human mandatory</w:t>
            </w:r>
          </w:p>
        </w:tc>
        <w:tc>
          <w:tcPr>
            <w:tcW w:type="dxa" w:w="3312"/>
            <w:vAlign w:val="center"/>
          </w:tcPr>
          <w:p>
            <w:r/>
            <w:r>
              <w:rPr>
                <w:rFonts w:ascii="Calibri" w:hAnsi="Calibri"/>
                <w:b w:val="0"/>
                <w:color w:val="334155"/>
                <w:sz w:val="19"/>
              </w:rPr>
              <w:t>Financial authorization and fraud control.</w:t>
            </w:r>
          </w:p>
        </w:tc>
      </w:tr>
      <w:tr>
        <w:tc>
          <w:tcPr>
            <w:tcW w:type="dxa" w:w="3312"/>
            <w:vAlign w:val="center"/>
          </w:tcPr>
          <w:p>
            <w:r/>
            <w:r>
              <w:rPr>
                <w:rFonts w:ascii="Calibri" w:hAnsi="Calibri"/>
                <w:b w:val="0"/>
                <w:color w:val="334155"/>
                <w:sz w:val="19"/>
              </w:rPr>
              <w:t>Vendor bank account creation/change</w:t>
            </w:r>
          </w:p>
        </w:tc>
        <w:tc>
          <w:tcPr>
            <w:tcW w:type="dxa" w:w="3312"/>
            <w:vAlign w:val="center"/>
          </w:tcPr>
          <w:p>
            <w:r/>
            <w:r>
              <w:rPr>
                <w:rFonts w:ascii="Calibri" w:hAnsi="Calibri"/>
                <w:b w:val="0"/>
                <w:color w:val="334155"/>
                <w:sz w:val="19"/>
              </w:rPr>
              <w:t>Human mandatory with dual control</w:t>
            </w:r>
          </w:p>
        </w:tc>
        <w:tc>
          <w:tcPr>
            <w:tcW w:type="dxa" w:w="3312"/>
            <w:vAlign w:val="center"/>
          </w:tcPr>
          <w:p>
            <w:r/>
            <w:r>
              <w:rPr>
                <w:rFonts w:ascii="Calibri" w:hAnsi="Calibri"/>
                <w:b w:val="0"/>
                <w:color w:val="334155"/>
                <w:sz w:val="19"/>
              </w:rPr>
              <w:t>High fraud risk; AI can flag mismatch but not approve.</w:t>
            </w:r>
          </w:p>
        </w:tc>
      </w:tr>
      <w:tr>
        <w:tc>
          <w:tcPr>
            <w:tcW w:type="dxa" w:w="3312"/>
            <w:vAlign w:val="center"/>
          </w:tcPr>
          <w:p>
            <w:r/>
            <w:r>
              <w:rPr>
                <w:rFonts w:ascii="Calibri" w:hAnsi="Calibri"/>
                <w:b w:val="0"/>
                <w:color w:val="334155"/>
                <w:sz w:val="19"/>
              </w:rPr>
              <w:t>WHT/tax override</w:t>
            </w:r>
          </w:p>
        </w:tc>
        <w:tc>
          <w:tcPr>
            <w:tcW w:type="dxa" w:w="3312"/>
            <w:vAlign w:val="center"/>
          </w:tcPr>
          <w:p>
            <w:r/>
            <w:r>
              <w:rPr>
                <w:rFonts w:ascii="Calibri" w:hAnsi="Calibri"/>
                <w:b w:val="0"/>
                <w:color w:val="334155"/>
                <w:sz w:val="19"/>
              </w:rPr>
              <w:t>Human mandatory</w:t>
            </w:r>
          </w:p>
        </w:tc>
        <w:tc>
          <w:tcPr>
            <w:tcW w:type="dxa" w:w="3312"/>
            <w:vAlign w:val="center"/>
          </w:tcPr>
          <w:p>
            <w:r/>
            <w:r>
              <w:rPr>
                <w:rFonts w:ascii="Calibri" w:hAnsi="Calibri"/>
                <w:b w:val="0"/>
                <w:color w:val="334155"/>
                <w:sz w:val="19"/>
              </w:rPr>
              <w:t>Compliance and tax liability risk.</w:t>
            </w:r>
          </w:p>
        </w:tc>
      </w:tr>
      <w:tr>
        <w:tc>
          <w:tcPr>
            <w:tcW w:type="dxa" w:w="3312"/>
            <w:vAlign w:val="center"/>
          </w:tcPr>
          <w:p>
            <w:r/>
            <w:r>
              <w:rPr>
                <w:rFonts w:ascii="Calibri" w:hAnsi="Calibri"/>
                <w:b w:val="0"/>
                <w:color w:val="334155"/>
                <w:sz w:val="19"/>
              </w:rPr>
              <w:t>High-value payment release</w:t>
            </w:r>
          </w:p>
        </w:tc>
        <w:tc>
          <w:tcPr>
            <w:tcW w:type="dxa" w:w="3312"/>
            <w:vAlign w:val="center"/>
          </w:tcPr>
          <w:p>
            <w:r/>
            <w:r>
              <w:rPr>
                <w:rFonts w:ascii="Calibri" w:hAnsi="Calibri"/>
                <w:b w:val="0"/>
                <w:color w:val="334155"/>
                <w:sz w:val="19"/>
              </w:rPr>
              <w:t>Human mandatory</w:t>
            </w:r>
          </w:p>
        </w:tc>
        <w:tc>
          <w:tcPr>
            <w:tcW w:type="dxa" w:w="3312"/>
            <w:vAlign w:val="center"/>
          </w:tcPr>
          <w:p>
            <w:r/>
            <w:r>
              <w:rPr>
                <w:rFonts w:ascii="Calibri" w:hAnsi="Calibri"/>
                <w:b w:val="0"/>
                <w:color w:val="334155"/>
                <w:sz w:val="19"/>
              </w:rPr>
              <w:t>Payment risk threshold requires explicit sign-off.</w:t>
            </w:r>
          </w:p>
        </w:tc>
      </w:tr>
      <w:tr>
        <w:tc>
          <w:tcPr>
            <w:tcW w:type="dxa" w:w="3312"/>
            <w:vAlign w:val="center"/>
          </w:tcPr>
          <w:p>
            <w:r/>
            <w:r>
              <w:rPr>
                <w:rFonts w:ascii="Calibri" w:hAnsi="Calibri"/>
                <w:b w:val="0"/>
                <w:color w:val="334155"/>
                <w:sz w:val="19"/>
              </w:rPr>
              <w:t>OCR/extraction correction</w:t>
            </w:r>
          </w:p>
        </w:tc>
        <w:tc>
          <w:tcPr>
            <w:tcW w:type="dxa" w:w="3312"/>
            <w:vAlign w:val="center"/>
          </w:tcPr>
          <w:p>
            <w:r/>
            <w:r>
              <w:rPr>
                <w:rFonts w:ascii="Calibri" w:hAnsi="Calibri"/>
                <w:b w:val="0"/>
                <w:color w:val="334155"/>
                <w:sz w:val="19"/>
              </w:rPr>
              <w:t>Semi-autonomous</w:t>
            </w:r>
          </w:p>
        </w:tc>
        <w:tc>
          <w:tcPr>
            <w:tcW w:type="dxa" w:w="3312"/>
            <w:vAlign w:val="center"/>
          </w:tcPr>
          <w:p>
            <w:r/>
            <w:r>
              <w:rPr>
                <w:rFonts w:ascii="Calibri" w:hAnsi="Calibri"/>
                <w:b w:val="0"/>
                <w:color w:val="334155"/>
                <w:sz w:val="19"/>
              </w:rPr>
              <w:t>AI can prefill; user confirms low-confidence fields.</w:t>
            </w:r>
          </w:p>
        </w:tc>
      </w:tr>
      <w:tr>
        <w:tc>
          <w:tcPr>
            <w:tcW w:type="dxa" w:w="3312"/>
            <w:vAlign w:val="center"/>
          </w:tcPr>
          <w:p>
            <w:r/>
            <w:r>
              <w:rPr>
                <w:rFonts w:ascii="Calibri" w:hAnsi="Calibri"/>
                <w:b w:val="0"/>
                <w:color w:val="334155"/>
                <w:sz w:val="19"/>
              </w:rPr>
              <w:t>Missing-doc reminders</w:t>
            </w:r>
          </w:p>
        </w:tc>
        <w:tc>
          <w:tcPr>
            <w:tcW w:type="dxa" w:w="3312"/>
            <w:vAlign w:val="center"/>
          </w:tcPr>
          <w:p>
            <w:r/>
            <w:r>
              <w:rPr>
                <w:rFonts w:ascii="Calibri" w:hAnsi="Calibri"/>
                <w:b w:val="0"/>
                <w:color w:val="334155"/>
                <w:sz w:val="19"/>
              </w:rPr>
              <w:t>Autonomous</w:t>
            </w:r>
          </w:p>
        </w:tc>
        <w:tc>
          <w:tcPr>
            <w:tcW w:type="dxa" w:w="3312"/>
            <w:vAlign w:val="center"/>
          </w:tcPr>
          <w:p>
            <w:r/>
            <w:r>
              <w:rPr>
                <w:rFonts w:ascii="Calibri" w:hAnsi="Calibri"/>
                <w:b w:val="0"/>
                <w:color w:val="334155"/>
                <w:sz w:val="19"/>
              </w:rPr>
              <w:t>Low-risk operational communication.</w:t>
            </w:r>
          </w:p>
        </w:tc>
      </w:tr>
      <w:tr>
        <w:tc>
          <w:tcPr>
            <w:tcW w:type="dxa" w:w="3312"/>
            <w:vAlign w:val="center"/>
          </w:tcPr>
          <w:p>
            <w:r/>
            <w:r>
              <w:rPr>
                <w:rFonts w:ascii="Calibri" w:hAnsi="Calibri"/>
                <w:b w:val="0"/>
                <w:color w:val="334155"/>
                <w:sz w:val="19"/>
              </w:rPr>
              <w:t>Status close after confirmed reconciliation</w:t>
            </w:r>
          </w:p>
        </w:tc>
        <w:tc>
          <w:tcPr>
            <w:tcW w:type="dxa" w:w="3312"/>
            <w:vAlign w:val="center"/>
          </w:tcPr>
          <w:p>
            <w:r/>
            <w:r>
              <w:rPr>
                <w:rFonts w:ascii="Calibri" w:hAnsi="Calibri"/>
                <w:b w:val="0"/>
                <w:color w:val="334155"/>
                <w:sz w:val="19"/>
              </w:rPr>
              <w:t>Semi-autonomous</w:t>
            </w:r>
          </w:p>
        </w:tc>
        <w:tc>
          <w:tcPr>
            <w:tcW w:type="dxa" w:w="3312"/>
            <w:vAlign w:val="center"/>
          </w:tcPr>
          <w:p>
            <w:r/>
            <w:r>
              <w:rPr>
                <w:rFonts w:ascii="Calibri" w:hAnsi="Calibri"/>
                <w:b w:val="0"/>
                <w:color w:val="334155"/>
                <w:sz w:val="19"/>
              </w:rPr>
              <w:t>Agent can recommend close; auto-close only when confidence and rules pass.</w:t>
            </w:r>
          </w:p>
        </w:tc>
      </w:tr>
    </w:tbl>
    <w:p/>
    <w:p>
      <w:pPr>
        <w:pStyle w:val="Heading1"/>
      </w:pPr>
      <w:r>
        <w:t>6. Functional Requirements for Implementation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ID</w:t>
            </w:r>
          </w:p>
        </w:tc>
        <w:tc>
          <w:tcPr>
            <w:tcW w:type="dxa" w:w="3312"/>
            <w:vAlign w:val="center"/>
            <w:shd w:fill="F2F4F7"/>
          </w:tcPr>
          <w:p>
            <w:r/>
            <w:r>
              <w:rPr>
                <w:rFonts w:ascii="Calibri" w:hAnsi="Calibri"/>
                <w:b/>
                <w:color w:val="0B2545"/>
                <w:sz w:val="19"/>
              </w:rPr>
              <w:t>Requirement</w:t>
            </w:r>
          </w:p>
        </w:tc>
        <w:tc>
          <w:tcPr>
            <w:tcW w:type="dxa" w:w="3312"/>
            <w:vAlign w:val="center"/>
            <w:shd w:fill="F2F4F7"/>
          </w:tcPr>
          <w:p>
            <w:r/>
            <w:r>
              <w:rPr>
                <w:rFonts w:ascii="Calibri" w:hAnsi="Calibri"/>
                <w:b/>
                <w:color w:val="0B2545"/>
                <w:sz w:val="19"/>
              </w:rPr>
              <w:t>Acceptance Criteria</w:t>
            </w:r>
          </w:p>
        </w:tc>
      </w:tr>
      <w:tr>
        <w:tc>
          <w:tcPr>
            <w:tcW w:type="dxa" w:w="3312"/>
            <w:vAlign w:val="center"/>
          </w:tcPr>
          <w:p>
            <w:r/>
            <w:r>
              <w:rPr>
                <w:rFonts w:ascii="Calibri" w:hAnsi="Calibri"/>
                <w:b w:val="0"/>
                <w:color w:val="334155"/>
                <w:sz w:val="19"/>
              </w:rPr>
              <w:t>AG-01</w:t>
            </w:r>
          </w:p>
        </w:tc>
        <w:tc>
          <w:tcPr>
            <w:tcW w:type="dxa" w:w="3312"/>
            <w:vAlign w:val="center"/>
          </w:tcPr>
          <w:p>
            <w:r/>
            <w:r>
              <w:rPr>
                <w:rFonts w:ascii="Calibri" w:hAnsi="Calibri"/>
                <w:b w:val="0"/>
                <w:color w:val="334155"/>
                <w:sz w:val="19"/>
              </w:rPr>
              <w:t>Agent job orchestration</w:t>
            </w:r>
          </w:p>
        </w:tc>
        <w:tc>
          <w:tcPr>
            <w:tcW w:type="dxa" w:w="3312"/>
            <w:vAlign w:val="center"/>
          </w:tcPr>
          <w:p>
            <w:r/>
            <w:r>
              <w:rPr>
                <w:rFonts w:ascii="Calibri" w:hAnsi="Calibri"/>
                <w:b w:val="0"/>
                <w:color w:val="334155"/>
                <w:sz w:val="19"/>
              </w:rPr>
              <w:t>System creates idempotent background jobs for upload, validation, notification, Xero and payment events.</w:t>
            </w:r>
          </w:p>
        </w:tc>
      </w:tr>
      <w:tr>
        <w:tc>
          <w:tcPr>
            <w:tcW w:type="dxa" w:w="3312"/>
            <w:vAlign w:val="center"/>
          </w:tcPr>
          <w:p>
            <w:r/>
            <w:r>
              <w:rPr>
                <w:rFonts w:ascii="Calibri" w:hAnsi="Calibri"/>
                <w:b w:val="0"/>
                <w:color w:val="334155"/>
                <w:sz w:val="19"/>
              </w:rPr>
              <w:t>AG-02</w:t>
            </w:r>
          </w:p>
        </w:tc>
        <w:tc>
          <w:tcPr>
            <w:tcW w:type="dxa" w:w="3312"/>
            <w:vAlign w:val="center"/>
          </w:tcPr>
          <w:p>
            <w:r/>
            <w:r>
              <w:rPr>
                <w:rFonts w:ascii="Calibri" w:hAnsi="Calibri"/>
                <w:b w:val="0"/>
                <w:color w:val="334155"/>
                <w:sz w:val="19"/>
              </w:rPr>
              <w:t>AI extraction panel</w:t>
            </w:r>
          </w:p>
        </w:tc>
        <w:tc>
          <w:tcPr>
            <w:tcW w:type="dxa" w:w="3312"/>
            <w:vAlign w:val="center"/>
          </w:tcPr>
          <w:p>
            <w:r/>
            <w:r>
              <w:rPr>
                <w:rFonts w:ascii="Calibri" w:hAnsi="Calibri"/>
                <w:b w:val="0"/>
                <w:color w:val="334155"/>
                <w:sz w:val="19"/>
              </w:rPr>
              <w:t>Invoice detail shows extracted fields, confidence, source document and user-confirmed corrections.</w:t>
            </w:r>
          </w:p>
        </w:tc>
      </w:tr>
      <w:tr>
        <w:tc>
          <w:tcPr>
            <w:tcW w:type="dxa" w:w="3312"/>
            <w:vAlign w:val="center"/>
          </w:tcPr>
          <w:p>
            <w:r/>
            <w:r>
              <w:rPr>
                <w:rFonts w:ascii="Calibri" w:hAnsi="Calibri"/>
                <w:b w:val="0"/>
                <w:color w:val="334155"/>
                <w:sz w:val="19"/>
              </w:rPr>
              <w:t>AG-03</w:t>
            </w:r>
          </w:p>
        </w:tc>
        <w:tc>
          <w:tcPr>
            <w:tcW w:type="dxa" w:w="3312"/>
            <w:vAlign w:val="center"/>
          </w:tcPr>
          <w:p>
            <w:r/>
            <w:r>
              <w:rPr>
                <w:rFonts w:ascii="Calibri" w:hAnsi="Calibri"/>
                <w:b w:val="0"/>
                <w:color w:val="334155"/>
                <w:sz w:val="19"/>
              </w:rPr>
              <w:t>Validation checklist</w:t>
            </w:r>
          </w:p>
        </w:tc>
        <w:tc>
          <w:tcPr>
            <w:tcW w:type="dxa" w:w="3312"/>
            <w:vAlign w:val="center"/>
          </w:tcPr>
          <w:p>
            <w:r/>
            <w:r>
              <w:rPr>
                <w:rFonts w:ascii="Calibri" w:hAnsi="Calibri"/>
                <w:b w:val="0"/>
                <w:color w:val="334155"/>
                <w:sz w:val="19"/>
              </w:rPr>
              <w:t>Ticket shows required docs, duplicate risk, vendor/account match, PO sync and readiness status.</w:t>
            </w:r>
          </w:p>
        </w:tc>
      </w:tr>
      <w:tr>
        <w:tc>
          <w:tcPr>
            <w:tcW w:type="dxa" w:w="3312"/>
            <w:vAlign w:val="center"/>
          </w:tcPr>
          <w:p>
            <w:r/>
            <w:r>
              <w:rPr>
                <w:rFonts w:ascii="Calibri" w:hAnsi="Calibri"/>
                <w:b w:val="0"/>
                <w:color w:val="334155"/>
                <w:sz w:val="19"/>
              </w:rPr>
              <w:t>AG-04</w:t>
            </w:r>
          </w:p>
        </w:tc>
        <w:tc>
          <w:tcPr>
            <w:tcW w:type="dxa" w:w="3312"/>
            <w:vAlign w:val="center"/>
          </w:tcPr>
          <w:p>
            <w:r/>
            <w:r>
              <w:rPr>
                <w:rFonts w:ascii="Calibri" w:hAnsi="Calibri"/>
                <w:b w:val="0"/>
                <w:color w:val="334155"/>
                <w:sz w:val="19"/>
              </w:rPr>
              <w:t>Recommendation actions</w:t>
            </w:r>
          </w:p>
        </w:tc>
        <w:tc>
          <w:tcPr>
            <w:tcW w:type="dxa" w:w="3312"/>
            <w:vAlign w:val="center"/>
          </w:tcPr>
          <w:p>
            <w:r/>
            <w:r>
              <w:rPr>
                <w:rFonts w:ascii="Calibri" w:hAnsi="Calibri"/>
                <w:b w:val="0"/>
                <w:color w:val="334155"/>
                <w:sz w:val="19"/>
              </w:rPr>
              <w:t>AP sees suggested next action but final status move follows role permissions.</w:t>
            </w:r>
          </w:p>
        </w:tc>
      </w:tr>
      <w:tr>
        <w:tc>
          <w:tcPr>
            <w:tcW w:type="dxa" w:w="3312"/>
            <w:vAlign w:val="center"/>
          </w:tcPr>
          <w:p>
            <w:r/>
            <w:r>
              <w:rPr>
                <w:rFonts w:ascii="Calibri" w:hAnsi="Calibri"/>
                <w:b w:val="0"/>
                <w:color w:val="334155"/>
                <w:sz w:val="19"/>
              </w:rPr>
              <w:t>AG-05</w:t>
            </w:r>
          </w:p>
        </w:tc>
        <w:tc>
          <w:tcPr>
            <w:tcW w:type="dxa" w:w="3312"/>
            <w:vAlign w:val="center"/>
          </w:tcPr>
          <w:p>
            <w:r/>
            <w:r>
              <w:rPr>
                <w:rFonts w:ascii="Calibri" w:hAnsi="Calibri"/>
                <w:b w:val="0"/>
                <w:color w:val="334155"/>
                <w:sz w:val="19"/>
              </w:rPr>
              <w:t>Approval reminders</w:t>
            </w:r>
          </w:p>
        </w:tc>
        <w:tc>
          <w:tcPr>
            <w:tcW w:type="dxa" w:w="3312"/>
            <w:vAlign w:val="center"/>
          </w:tcPr>
          <w:p>
            <w:r/>
            <w:r>
              <w:rPr>
                <w:rFonts w:ascii="Calibri" w:hAnsi="Calibri"/>
                <w:b w:val="0"/>
                <w:color w:val="334155"/>
                <w:sz w:val="19"/>
              </w:rPr>
              <w:t>Head/CFO pending tasks trigger reminders and escalation based on SLA.</w:t>
            </w:r>
          </w:p>
        </w:tc>
      </w:tr>
      <w:tr>
        <w:tc>
          <w:tcPr>
            <w:tcW w:type="dxa" w:w="3312"/>
            <w:vAlign w:val="center"/>
          </w:tcPr>
          <w:p>
            <w:r/>
            <w:r>
              <w:rPr>
                <w:rFonts w:ascii="Calibri" w:hAnsi="Calibri"/>
                <w:b w:val="0"/>
                <w:color w:val="334155"/>
                <w:sz w:val="19"/>
              </w:rPr>
              <w:t>AG-06</w:t>
            </w:r>
          </w:p>
        </w:tc>
        <w:tc>
          <w:tcPr>
            <w:tcW w:type="dxa" w:w="3312"/>
            <w:vAlign w:val="center"/>
          </w:tcPr>
          <w:p>
            <w:r/>
            <w:r>
              <w:rPr>
                <w:rFonts w:ascii="Calibri" w:hAnsi="Calibri"/>
                <w:b w:val="0"/>
                <w:color w:val="334155"/>
                <w:sz w:val="19"/>
              </w:rPr>
              <w:t>WHT/voucher draft</w:t>
            </w:r>
          </w:p>
        </w:tc>
        <w:tc>
          <w:tcPr>
            <w:tcW w:type="dxa" w:w="3312"/>
            <w:vAlign w:val="center"/>
          </w:tcPr>
          <w:p>
            <w:r/>
            <w:r>
              <w:rPr>
                <w:rFonts w:ascii="Calibri" w:hAnsi="Calibri"/>
                <w:b w:val="0"/>
                <w:color w:val="334155"/>
                <w:sz w:val="19"/>
              </w:rPr>
              <w:t>Agent calculates draft WHT/net payable and AP must confirm before voucher is finalized.</w:t>
            </w:r>
          </w:p>
        </w:tc>
      </w:tr>
      <w:tr>
        <w:tc>
          <w:tcPr>
            <w:tcW w:type="dxa" w:w="3312"/>
            <w:vAlign w:val="center"/>
          </w:tcPr>
          <w:p>
            <w:r/>
            <w:r>
              <w:rPr>
                <w:rFonts w:ascii="Calibri" w:hAnsi="Calibri"/>
                <w:b w:val="0"/>
                <w:color w:val="334155"/>
                <w:sz w:val="19"/>
              </w:rPr>
              <w:t>AG-07</w:t>
            </w:r>
          </w:p>
        </w:tc>
        <w:tc>
          <w:tcPr>
            <w:tcW w:type="dxa" w:w="3312"/>
            <w:vAlign w:val="center"/>
          </w:tcPr>
          <w:p>
            <w:r/>
            <w:r>
              <w:rPr>
                <w:rFonts w:ascii="Calibri" w:hAnsi="Calibri"/>
                <w:b w:val="0"/>
                <w:color w:val="334155"/>
                <w:sz w:val="19"/>
              </w:rPr>
              <w:t>Xero assistant</w:t>
            </w:r>
          </w:p>
        </w:tc>
        <w:tc>
          <w:tcPr>
            <w:tcW w:type="dxa" w:w="3312"/>
            <w:vAlign w:val="center"/>
          </w:tcPr>
          <w:p>
            <w:r/>
            <w:r>
              <w:rPr>
                <w:rFonts w:ascii="Calibri" w:hAnsi="Calibri"/>
                <w:b w:val="0"/>
                <w:color w:val="334155"/>
                <w:sz w:val="19"/>
              </w:rPr>
              <w:t>Agent prepares bill/payment payload, stores sync error explanations and prevents duplicate bill creation.</w:t>
            </w:r>
          </w:p>
        </w:tc>
      </w:tr>
      <w:tr>
        <w:tc>
          <w:tcPr>
            <w:tcW w:type="dxa" w:w="3312"/>
            <w:vAlign w:val="center"/>
          </w:tcPr>
          <w:p>
            <w:r/>
            <w:r>
              <w:rPr>
                <w:rFonts w:ascii="Calibri" w:hAnsi="Calibri"/>
                <w:b w:val="0"/>
                <w:color w:val="334155"/>
                <w:sz w:val="19"/>
              </w:rPr>
              <w:t>AG-08</w:t>
            </w:r>
          </w:p>
        </w:tc>
        <w:tc>
          <w:tcPr>
            <w:tcW w:type="dxa" w:w="3312"/>
            <w:vAlign w:val="center"/>
          </w:tcPr>
          <w:p>
            <w:r/>
            <w:r>
              <w:rPr>
                <w:rFonts w:ascii="Calibri" w:hAnsi="Calibri"/>
                <w:b w:val="0"/>
                <w:color w:val="334155"/>
                <w:sz w:val="19"/>
              </w:rPr>
              <w:t>Payment gateway reconciliation</w:t>
            </w:r>
          </w:p>
        </w:tc>
        <w:tc>
          <w:tcPr>
            <w:tcW w:type="dxa" w:w="3312"/>
            <w:vAlign w:val="center"/>
          </w:tcPr>
          <w:p>
            <w:r/>
            <w:r>
              <w:rPr>
                <w:rFonts w:ascii="Calibri" w:hAnsi="Calibri"/>
                <w:b w:val="0"/>
                <w:color w:val="334155"/>
                <w:sz w:val="19"/>
              </w:rPr>
              <w:t>Agent matches gateway/bank confirmation to ticket, amount, vendor and Xero payment status.</w:t>
            </w:r>
          </w:p>
        </w:tc>
      </w:tr>
      <w:tr>
        <w:tc>
          <w:tcPr>
            <w:tcW w:type="dxa" w:w="3312"/>
            <w:vAlign w:val="center"/>
          </w:tcPr>
          <w:p>
            <w:r/>
            <w:r>
              <w:rPr>
                <w:rFonts w:ascii="Calibri" w:hAnsi="Calibri"/>
                <w:b w:val="0"/>
                <w:color w:val="334155"/>
                <w:sz w:val="19"/>
              </w:rPr>
              <w:t>AG-09</w:t>
            </w:r>
          </w:p>
        </w:tc>
        <w:tc>
          <w:tcPr>
            <w:tcW w:type="dxa" w:w="3312"/>
            <w:vAlign w:val="center"/>
          </w:tcPr>
          <w:p>
            <w:r/>
            <w:r>
              <w:rPr>
                <w:rFonts w:ascii="Calibri" w:hAnsi="Calibri"/>
                <w:b w:val="0"/>
                <w:color w:val="334155"/>
                <w:sz w:val="19"/>
              </w:rPr>
              <w:t>Conversation assistant</w:t>
            </w:r>
          </w:p>
        </w:tc>
        <w:tc>
          <w:tcPr>
            <w:tcW w:type="dxa" w:w="3312"/>
            <w:vAlign w:val="center"/>
          </w:tcPr>
          <w:p>
            <w:r/>
            <w:r>
              <w:rPr>
                <w:rFonts w:ascii="Calibri" w:hAnsi="Calibri"/>
                <w:b w:val="0"/>
                <w:color w:val="334155"/>
                <w:sz w:val="19"/>
              </w:rPr>
              <w:t>Users can ask ticket-specific questions and receive answers grounded in ticket, invoice, PO and activity data.</w:t>
            </w:r>
          </w:p>
        </w:tc>
      </w:tr>
      <w:tr>
        <w:tc>
          <w:tcPr>
            <w:tcW w:type="dxa" w:w="3312"/>
            <w:vAlign w:val="center"/>
          </w:tcPr>
          <w:p>
            <w:r/>
            <w:r>
              <w:rPr>
                <w:rFonts w:ascii="Calibri" w:hAnsi="Calibri"/>
                <w:b w:val="0"/>
                <w:color w:val="334155"/>
                <w:sz w:val="19"/>
              </w:rPr>
              <w:t>AG-10</w:t>
            </w:r>
          </w:p>
        </w:tc>
        <w:tc>
          <w:tcPr>
            <w:tcW w:type="dxa" w:w="3312"/>
            <w:vAlign w:val="center"/>
          </w:tcPr>
          <w:p>
            <w:r/>
            <w:r>
              <w:rPr>
                <w:rFonts w:ascii="Calibri" w:hAnsi="Calibri"/>
                <w:b w:val="0"/>
                <w:color w:val="334155"/>
                <w:sz w:val="19"/>
              </w:rPr>
              <w:t>Workflow QA agent</w:t>
            </w:r>
          </w:p>
        </w:tc>
        <w:tc>
          <w:tcPr>
            <w:tcW w:type="dxa" w:w="3312"/>
            <w:vAlign w:val="center"/>
          </w:tcPr>
          <w:p>
            <w:r/>
            <w:r>
              <w:rPr>
                <w:rFonts w:ascii="Calibri" w:hAnsi="Calibri"/>
                <w:b w:val="0"/>
                <w:color w:val="334155"/>
                <w:sz w:val="19"/>
              </w:rPr>
              <w:t>Automated tests verify critical role/status paths before release.</w:t>
            </w:r>
          </w:p>
        </w:tc>
      </w:tr>
    </w:tbl>
    <w:p/>
    <w:p>
      <w:pPr>
        <w:pStyle w:val="Heading1"/>
      </w:pPr>
      <w:r>
        <w:t>7. Data Model Additions</w:t>
      </w:r>
    </w:p>
    <w:tbl>
      <w:tblPr>
        <w:tblStyle w:val="TableGrid"/>
        <w:tblW w:type="auto" w:w="0"/>
        <w:tblLook w:firstColumn="1" w:firstRow="1" w:lastColumn="0" w:lastRow="0" w:noHBand="0" w:noVBand="1" w:val="04A0"/>
      </w:tblPr>
      <w:tblGrid>
        <w:gridCol w:w="4968"/>
        <w:gridCol w:w="4968"/>
      </w:tblGrid>
      <w:tr>
        <w:tc>
          <w:tcPr>
            <w:tcW w:type="dxa" w:w="4968"/>
            <w:vAlign w:val="center"/>
            <w:shd w:fill="F2F4F7"/>
          </w:tcPr>
          <w:p>
            <w:r/>
            <w:r>
              <w:rPr>
                <w:rFonts w:ascii="Calibri" w:hAnsi="Calibri"/>
                <w:b/>
                <w:color w:val="0B2545"/>
                <w:sz w:val="19"/>
              </w:rPr>
              <w:t>Entity / Field</w:t>
            </w:r>
          </w:p>
        </w:tc>
        <w:tc>
          <w:tcPr>
            <w:tcW w:type="dxa" w:w="4968"/>
            <w:vAlign w:val="center"/>
            <w:shd w:fill="F2F4F7"/>
          </w:tcPr>
          <w:p>
            <w:r/>
            <w:r>
              <w:rPr>
                <w:rFonts w:ascii="Calibri" w:hAnsi="Calibri"/>
                <w:b/>
                <w:color w:val="0B2545"/>
                <w:sz w:val="19"/>
              </w:rPr>
              <w:t>Purpose</w:t>
            </w:r>
          </w:p>
        </w:tc>
      </w:tr>
      <w:tr>
        <w:tc>
          <w:tcPr>
            <w:tcW w:type="dxa" w:w="4968"/>
            <w:vAlign w:val="center"/>
          </w:tcPr>
          <w:p>
            <w:r/>
            <w:r>
              <w:rPr>
                <w:rFonts w:ascii="Calibri" w:hAnsi="Calibri"/>
                <w:b w:val="0"/>
                <w:color w:val="334155"/>
                <w:sz w:val="19"/>
              </w:rPr>
              <w:t>AgentJob</w:t>
            </w:r>
          </w:p>
        </w:tc>
        <w:tc>
          <w:tcPr>
            <w:tcW w:type="dxa" w:w="4968"/>
            <w:vAlign w:val="center"/>
          </w:tcPr>
          <w:p>
            <w:r/>
            <w:r>
              <w:rPr>
                <w:rFonts w:ascii="Calibri" w:hAnsi="Calibri"/>
                <w:b w:val="0"/>
                <w:color w:val="334155"/>
                <w:sz w:val="19"/>
              </w:rPr>
              <w:t>Track queued/running/completed/failed agent jobs with idempotency key and retry count.</w:t>
            </w:r>
          </w:p>
        </w:tc>
      </w:tr>
      <w:tr>
        <w:tc>
          <w:tcPr>
            <w:tcW w:type="dxa" w:w="4968"/>
            <w:vAlign w:val="center"/>
          </w:tcPr>
          <w:p>
            <w:r/>
            <w:r>
              <w:rPr>
                <w:rFonts w:ascii="Calibri" w:hAnsi="Calibri"/>
                <w:b w:val="0"/>
                <w:color w:val="334155"/>
                <w:sz w:val="19"/>
              </w:rPr>
              <w:t>AgentRun</w:t>
            </w:r>
          </w:p>
        </w:tc>
        <w:tc>
          <w:tcPr>
            <w:tcW w:type="dxa" w:w="4968"/>
            <w:vAlign w:val="center"/>
          </w:tcPr>
          <w:p>
            <w:r/>
            <w:r>
              <w:rPr>
                <w:rFonts w:ascii="Calibri" w:hAnsi="Calibri"/>
                <w:b w:val="0"/>
                <w:color w:val="334155"/>
                <w:sz w:val="19"/>
              </w:rPr>
              <w:t>Store model/tool used, prompt version, input references, output summary, confidence and cost metadata.</w:t>
            </w:r>
          </w:p>
        </w:tc>
      </w:tr>
      <w:tr>
        <w:tc>
          <w:tcPr>
            <w:tcW w:type="dxa" w:w="4968"/>
            <w:vAlign w:val="center"/>
          </w:tcPr>
          <w:p>
            <w:r/>
            <w:r>
              <w:rPr>
                <w:rFonts w:ascii="Calibri" w:hAnsi="Calibri"/>
                <w:b w:val="0"/>
                <w:color w:val="334155"/>
                <w:sz w:val="19"/>
              </w:rPr>
              <w:t>AgentRecommendation</w:t>
            </w:r>
          </w:p>
        </w:tc>
        <w:tc>
          <w:tcPr>
            <w:tcW w:type="dxa" w:w="4968"/>
            <w:vAlign w:val="center"/>
          </w:tcPr>
          <w:p>
            <w:r/>
            <w:r>
              <w:rPr>
                <w:rFonts w:ascii="Calibri" w:hAnsi="Calibri"/>
                <w:b w:val="0"/>
                <w:color w:val="334155"/>
                <w:sz w:val="19"/>
              </w:rPr>
              <w:t>Store suggested field updates, next status, risk flags and human acceptance/rejection.</w:t>
            </w:r>
          </w:p>
        </w:tc>
      </w:tr>
      <w:tr>
        <w:tc>
          <w:tcPr>
            <w:tcW w:type="dxa" w:w="4968"/>
            <w:vAlign w:val="center"/>
          </w:tcPr>
          <w:p>
            <w:r/>
            <w:r>
              <w:rPr>
                <w:rFonts w:ascii="Calibri" w:hAnsi="Calibri"/>
                <w:b w:val="0"/>
                <w:color w:val="334155"/>
                <w:sz w:val="19"/>
              </w:rPr>
              <w:t>Invoice.extractionConfidence</w:t>
            </w:r>
          </w:p>
        </w:tc>
        <w:tc>
          <w:tcPr>
            <w:tcW w:type="dxa" w:w="4968"/>
            <w:vAlign w:val="center"/>
          </w:tcPr>
          <w:p>
            <w:r/>
            <w:r>
              <w:rPr>
                <w:rFonts w:ascii="Calibri" w:hAnsi="Calibri"/>
                <w:b w:val="0"/>
                <w:color w:val="334155"/>
                <w:sz w:val="19"/>
              </w:rPr>
              <w:t>Field-level confidence for extracted values.</w:t>
            </w:r>
          </w:p>
        </w:tc>
      </w:tr>
      <w:tr>
        <w:tc>
          <w:tcPr>
            <w:tcW w:type="dxa" w:w="4968"/>
            <w:vAlign w:val="center"/>
          </w:tcPr>
          <w:p>
            <w:r/>
            <w:r>
              <w:rPr>
                <w:rFonts w:ascii="Calibri" w:hAnsi="Calibri"/>
                <w:b w:val="0"/>
                <w:color w:val="334155"/>
                <w:sz w:val="19"/>
              </w:rPr>
              <w:t>PaymentTicket.riskScore</w:t>
            </w:r>
          </w:p>
        </w:tc>
        <w:tc>
          <w:tcPr>
            <w:tcW w:type="dxa" w:w="4968"/>
            <w:vAlign w:val="center"/>
          </w:tcPr>
          <w:p>
            <w:r/>
            <w:r>
              <w:rPr>
                <w:rFonts w:ascii="Calibri" w:hAnsi="Calibri"/>
                <w:b w:val="0"/>
                <w:color w:val="334155"/>
                <w:sz w:val="19"/>
              </w:rPr>
              <w:t>Aggregated duplicate/vendor/account/payment risk score.</w:t>
            </w:r>
          </w:p>
        </w:tc>
      </w:tr>
      <w:tr>
        <w:tc>
          <w:tcPr>
            <w:tcW w:type="dxa" w:w="4968"/>
            <w:vAlign w:val="center"/>
          </w:tcPr>
          <w:p>
            <w:r/>
            <w:r>
              <w:rPr>
                <w:rFonts w:ascii="Calibri" w:hAnsi="Calibri"/>
                <w:b w:val="0"/>
                <w:color w:val="334155"/>
                <w:sz w:val="19"/>
              </w:rPr>
              <w:t>PaymentTicket.agentReadiness</w:t>
            </w:r>
          </w:p>
        </w:tc>
        <w:tc>
          <w:tcPr>
            <w:tcW w:type="dxa" w:w="4968"/>
            <w:vAlign w:val="center"/>
          </w:tcPr>
          <w:p>
            <w:r/>
            <w:r>
              <w:rPr>
                <w:rFonts w:ascii="Calibri" w:hAnsi="Calibri"/>
                <w:b w:val="0"/>
                <w:color w:val="334155"/>
                <w:sz w:val="19"/>
              </w:rPr>
              <w:t>READY, NEEDS_REVIEW, BLOCKED or FAILED state for agent checks.</w:t>
            </w:r>
          </w:p>
        </w:tc>
      </w:tr>
      <w:tr>
        <w:tc>
          <w:tcPr>
            <w:tcW w:type="dxa" w:w="4968"/>
            <w:vAlign w:val="center"/>
          </w:tcPr>
          <w:p>
            <w:r/>
            <w:r>
              <w:rPr>
                <w:rFonts w:ascii="Calibri" w:hAnsi="Calibri"/>
                <w:b w:val="0"/>
                <w:color w:val="334155"/>
                <w:sz w:val="19"/>
              </w:rPr>
              <w:t>TicketActivity.actorType</w:t>
            </w:r>
          </w:p>
        </w:tc>
        <w:tc>
          <w:tcPr>
            <w:tcW w:type="dxa" w:w="4968"/>
            <w:vAlign w:val="center"/>
          </w:tcPr>
          <w:p>
            <w:r/>
            <w:r>
              <w:rPr>
                <w:rFonts w:ascii="Calibri" w:hAnsi="Calibri"/>
                <w:b w:val="0"/>
                <w:color w:val="334155"/>
                <w:sz w:val="19"/>
              </w:rPr>
              <w:t>Differentiate human, system and AI agent actions in audit history.</w:t>
            </w:r>
          </w:p>
        </w:tc>
      </w:tr>
    </w:tbl>
    <w:p/>
    <w:p>
      <w:pPr>
        <w:pStyle w:val="Heading1"/>
      </w:pPr>
      <w:r>
        <w:t>8. APIs and Tools Required</w:t>
      </w:r>
    </w:p>
    <w:p>
      <w:pPr>
        <w:pStyle w:val="ListBullet"/>
      </w:pPr>
      <w:r>
        <w:t>LLM with vision/OCR capability for invoice and slip extraction.</w:t>
      </w:r>
    </w:p>
    <w:p>
      <w:pPr>
        <w:pStyle w:val="ListBullet"/>
      </w:pPr>
      <w:r>
        <w:t>Embedding/fuzzy-match service for duplicate detection and vendor matching.</w:t>
      </w:r>
    </w:p>
    <w:p>
      <w:pPr>
        <w:pStyle w:val="ListBullet"/>
      </w:pPr>
      <w:r>
        <w:t>Xero Accounting API with idempotency protection for bill/payment creation.</w:t>
      </w:r>
    </w:p>
    <w:p>
      <w:pPr>
        <w:pStyle w:val="ListBullet"/>
      </w:pPr>
      <w:r>
        <w:t>Payment gateway or bank file/API response integration for payment execution status.</w:t>
      </w:r>
    </w:p>
    <w:p>
      <w:pPr>
        <w:pStyle w:val="ListBullet"/>
      </w:pPr>
      <w:r>
        <w:t>Email ingestion API for invoices arriving by email.</w:t>
      </w:r>
    </w:p>
    <w:p>
      <w:pPr>
        <w:pStyle w:val="ListBullet"/>
      </w:pPr>
      <w:r>
        <w:t>Notification channels: in-app first; optional email, Slack, Teams or WhatsApp later.</w:t>
      </w:r>
    </w:p>
    <w:p>
      <w:pPr>
        <w:pStyle w:val="ListBullet"/>
      </w:pPr>
      <w:r>
        <w:t>Policy/rules engine for mandatory fields, approval thresholds, WHT rates and risk gates.</w:t>
      </w:r>
    </w:p>
    <w:p>
      <w:pPr>
        <w:pStyle w:val="Heading1"/>
      </w:pPr>
      <w:r>
        <w:t>9. User Experience Changes</w:t>
      </w:r>
    </w:p>
    <w:p>
      <w:pPr>
        <w:pStyle w:val="ListBullet"/>
      </w:pPr>
      <w:r>
        <w:t>Invoice Detail: add AI extraction review card with confidence indicators and confirm/correct buttons.</w:t>
      </w:r>
    </w:p>
    <w:p>
      <w:pPr>
        <w:pStyle w:val="ListBullet"/>
      </w:pPr>
      <w:r>
        <w:t>Ticket Detail: add AI validation checklist, recommendation summary and risk reasons.</w:t>
      </w:r>
    </w:p>
    <w:p>
      <w:pPr>
        <w:pStyle w:val="ListBullet"/>
      </w:pPr>
      <w:r>
        <w:t>AP Board: add agent-ready, blocked-by-docs and high-risk badges.</w:t>
      </w:r>
    </w:p>
    <w:p>
      <w:pPr>
        <w:pStyle w:val="ListBullet"/>
      </w:pPr>
      <w:r>
        <w:t>Department Head Board: show AI summary but keep approve/reject buttons human-only.</w:t>
      </w:r>
    </w:p>
    <w:p>
      <w:pPr>
        <w:pStyle w:val="ListBullet"/>
      </w:pPr>
      <w:r>
        <w:t>CFO View: show payment risk summary, vendor/account confirmation and payment gateway status.</w:t>
      </w:r>
    </w:p>
    <w:p>
      <w:pPr>
        <w:pStyle w:val="ListBullet"/>
      </w:pPr>
      <w:r>
        <w:t>Operations: add Agent Jobs, failed runs, prompt/version settings and audit export.</w:t>
      </w:r>
    </w:p>
    <w:p>
      <w:pPr>
        <w:pStyle w:val="Heading1"/>
      </w:pPr>
      <w:r>
        <w:t>10. Notifications, Reporting and Monitoring</w:t>
      </w:r>
    </w:p>
    <w:p>
      <w:pPr>
        <w:pStyle w:val="ListBullet"/>
      </w:pPr>
      <w:r>
        <w:t>Daily AP digest: pending approvals, missing docs, high-risk tickets, Xero failures and payment queue.</w:t>
      </w:r>
    </w:p>
    <w:p>
      <w:pPr>
        <w:pStyle w:val="ListBullet"/>
      </w:pPr>
      <w:r>
        <w:t>Overdue workflow monitor: alerts when due date or SLA is near breach.</w:t>
      </w:r>
    </w:p>
    <w:p>
      <w:pPr>
        <w:pStyle w:val="ListBullet"/>
      </w:pPr>
      <w:r>
        <w:t>Self-healing monitor: retry safe Xero token refresh, stuck agent jobs and transient gateway failures.</w:t>
      </w:r>
    </w:p>
    <w:p>
      <w:pPr>
        <w:pStyle w:val="ListBullet"/>
      </w:pPr>
      <w:r>
        <w:t>Exception report: duplicate risk, account mismatch, low confidence OCR, payment confirmation mismatch.</w:t>
      </w:r>
    </w:p>
    <w:p>
      <w:pPr>
        <w:pStyle w:val="ListBullet"/>
      </w:pPr>
      <w:r>
        <w:t>Performance dashboard: manual touches removed, average cycle time, first-pass approval rate, agent confidence and override rate.</w:t>
      </w:r>
    </w:p>
    <w:p>
      <w:pPr>
        <w:pStyle w:val="Heading1"/>
      </w:pPr>
      <w:r>
        <w:t>11. Security, Compliance and Governance</w:t>
      </w:r>
    </w:p>
    <w:p>
      <w:pPr>
        <w:pStyle w:val="ListBullet"/>
      </w:pPr>
      <w:r>
        <w:t>Agents must call existing APIs and respect RBAC; no direct database mutation for critical status/payment actions.</w:t>
      </w:r>
    </w:p>
    <w:p>
      <w:pPr>
        <w:pStyle w:val="ListBullet"/>
      </w:pPr>
      <w:r>
        <w:t>Use prompt-injection defenses: document text is untrusted input and cannot instruct agents to bypass workflow rules.</w:t>
      </w:r>
    </w:p>
    <w:p>
      <w:pPr>
        <w:pStyle w:val="ListBullet"/>
      </w:pPr>
      <w:r>
        <w:t>Encrypt uploaded documents and store least-privilege credentials for Xero/payment gateway.</w:t>
      </w:r>
    </w:p>
    <w:p>
      <w:pPr>
        <w:pStyle w:val="ListBullet"/>
      </w:pPr>
      <w:r>
        <w:t>Mask sensitive bank account data in prompts where full value is not required.</w:t>
      </w:r>
    </w:p>
    <w:p>
      <w:pPr>
        <w:pStyle w:val="ListBullet"/>
      </w:pPr>
      <w:r>
        <w:t>Log all agent actions with input reference, model/tool version, confidence and human acceptance.</w:t>
      </w:r>
    </w:p>
    <w:p>
      <w:pPr>
        <w:pStyle w:val="ListBullet"/>
      </w:pPr>
      <w:r>
        <w:t>Require dual control for vendor bank account changes and payment release above threshold.</w:t>
      </w:r>
    </w:p>
    <w:p>
      <w:pPr>
        <w:pStyle w:val="Heading1"/>
      </w:pPr>
      <w:r>
        <w:t>12. Testing Strategy</w:t>
      </w:r>
    </w:p>
    <w:tbl>
      <w:tblPr>
        <w:tblStyle w:val="TableGrid"/>
        <w:tblW w:type="auto" w:w="0"/>
        <w:tblLook w:firstColumn="1" w:firstRow="1" w:lastColumn="0" w:lastRow="0" w:noHBand="0" w:noVBand="1" w:val="04A0"/>
      </w:tblPr>
      <w:tblGrid>
        <w:gridCol w:w="4968"/>
        <w:gridCol w:w="4968"/>
      </w:tblGrid>
      <w:tr>
        <w:tc>
          <w:tcPr>
            <w:tcW w:type="dxa" w:w="4968"/>
            <w:vAlign w:val="center"/>
            <w:shd w:fill="F2F4F7"/>
          </w:tcPr>
          <w:p>
            <w:r/>
            <w:r>
              <w:rPr>
                <w:rFonts w:ascii="Calibri" w:hAnsi="Calibri"/>
                <w:b/>
                <w:color w:val="0B2545"/>
                <w:sz w:val="19"/>
              </w:rPr>
              <w:t>Test Area</w:t>
            </w:r>
          </w:p>
        </w:tc>
        <w:tc>
          <w:tcPr>
            <w:tcW w:type="dxa" w:w="4968"/>
            <w:vAlign w:val="center"/>
            <w:shd w:fill="F2F4F7"/>
          </w:tcPr>
          <w:p>
            <w:r/>
            <w:r>
              <w:rPr>
                <w:rFonts w:ascii="Calibri" w:hAnsi="Calibri"/>
                <w:b/>
                <w:color w:val="0B2545"/>
                <w:sz w:val="19"/>
              </w:rPr>
              <w:t>Coverage</w:t>
            </w:r>
          </w:p>
        </w:tc>
      </w:tr>
      <w:tr>
        <w:tc>
          <w:tcPr>
            <w:tcW w:type="dxa" w:w="4968"/>
            <w:vAlign w:val="center"/>
          </w:tcPr>
          <w:p>
            <w:r/>
            <w:r>
              <w:rPr>
                <w:rFonts w:ascii="Calibri" w:hAnsi="Calibri"/>
                <w:b w:val="0"/>
                <w:color w:val="334155"/>
                <w:sz w:val="19"/>
              </w:rPr>
              <w:t>Unit tests</w:t>
            </w:r>
          </w:p>
        </w:tc>
        <w:tc>
          <w:tcPr>
            <w:tcW w:type="dxa" w:w="4968"/>
            <w:vAlign w:val="center"/>
          </w:tcPr>
          <w:p>
            <w:r/>
            <w:r>
              <w:rPr>
                <w:rFonts w:ascii="Calibri" w:hAnsi="Calibri"/>
                <w:b w:val="0"/>
                <w:color w:val="334155"/>
                <w:sz w:val="19"/>
              </w:rPr>
              <w:t>Due-date cutoff, WHT calculation, validation rules, idempotency and risk scoring.</w:t>
            </w:r>
          </w:p>
        </w:tc>
      </w:tr>
      <w:tr>
        <w:tc>
          <w:tcPr>
            <w:tcW w:type="dxa" w:w="4968"/>
            <w:vAlign w:val="center"/>
          </w:tcPr>
          <w:p>
            <w:r/>
            <w:r>
              <w:rPr>
                <w:rFonts w:ascii="Calibri" w:hAnsi="Calibri"/>
                <w:b w:val="0"/>
                <w:color w:val="334155"/>
                <w:sz w:val="19"/>
              </w:rPr>
              <w:t>API tests</w:t>
            </w:r>
          </w:p>
        </w:tc>
        <w:tc>
          <w:tcPr>
            <w:tcW w:type="dxa" w:w="4968"/>
            <w:vAlign w:val="center"/>
          </w:tcPr>
          <w:p>
            <w:r/>
            <w:r>
              <w:rPr>
                <w:rFonts w:ascii="Calibri" w:hAnsi="Calibri"/>
                <w:b w:val="0"/>
                <w:color w:val="334155"/>
                <w:sz w:val="19"/>
              </w:rPr>
              <w:t>Agent job creation, recommendation acceptance/rejection, RBAC and audit records.</w:t>
            </w:r>
          </w:p>
        </w:tc>
      </w:tr>
      <w:tr>
        <w:tc>
          <w:tcPr>
            <w:tcW w:type="dxa" w:w="4968"/>
            <w:vAlign w:val="center"/>
          </w:tcPr>
          <w:p>
            <w:r/>
            <w:r>
              <w:rPr>
                <w:rFonts w:ascii="Calibri" w:hAnsi="Calibri"/>
                <w:b w:val="0"/>
                <w:color w:val="334155"/>
                <w:sz w:val="19"/>
              </w:rPr>
              <w:t>Workflow tests</w:t>
            </w:r>
          </w:p>
        </w:tc>
        <w:tc>
          <w:tcPr>
            <w:tcW w:type="dxa" w:w="4968"/>
            <w:vAlign w:val="center"/>
          </w:tcPr>
          <w:p>
            <w:r/>
            <w:r>
              <w:rPr>
                <w:rFonts w:ascii="Calibri" w:hAnsi="Calibri"/>
                <w:b w:val="0"/>
                <w:color w:val="334155"/>
                <w:sz w:val="19"/>
              </w:rPr>
              <w:t>Department upload to head approval, AP review, Xero, payment gateway and close.</w:t>
            </w:r>
          </w:p>
        </w:tc>
      </w:tr>
      <w:tr>
        <w:tc>
          <w:tcPr>
            <w:tcW w:type="dxa" w:w="4968"/>
            <w:vAlign w:val="center"/>
          </w:tcPr>
          <w:p>
            <w:r/>
            <w:r>
              <w:rPr>
                <w:rFonts w:ascii="Calibri" w:hAnsi="Calibri"/>
                <w:b w:val="0"/>
                <w:color w:val="334155"/>
                <w:sz w:val="19"/>
              </w:rPr>
              <w:t>AI evaluation tests</w:t>
            </w:r>
          </w:p>
        </w:tc>
        <w:tc>
          <w:tcPr>
            <w:tcW w:type="dxa" w:w="4968"/>
            <w:vAlign w:val="center"/>
          </w:tcPr>
          <w:p>
            <w:r/>
            <w:r>
              <w:rPr>
                <w:rFonts w:ascii="Calibri" w:hAnsi="Calibri"/>
                <w:b w:val="0"/>
                <w:color w:val="334155"/>
                <w:sz w:val="19"/>
              </w:rPr>
              <w:t>OCR accuracy, duplicate detection, vendor/account matching and missing-doc classification.</w:t>
            </w:r>
          </w:p>
        </w:tc>
      </w:tr>
      <w:tr>
        <w:tc>
          <w:tcPr>
            <w:tcW w:type="dxa" w:w="4968"/>
            <w:vAlign w:val="center"/>
          </w:tcPr>
          <w:p>
            <w:r/>
            <w:r>
              <w:rPr>
                <w:rFonts w:ascii="Calibri" w:hAnsi="Calibri"/>
                <w:b w:val="0"/>
                <w:color w:val="334155"/>
                <w:sz w:val="19"/>
              </w:rPr>
              <w:t>Security tests</w:t>
            </w:r>
          </w:p>
        </w:tc>
        <w:tc>
          <w:tcPr>
            <w:tcW w:type="dxa" w:w="4968"/>
            <w:vAlign w:val="center"/>
          </w:tcPr>
          <w:p>
            <w:r/>
            <w:r>
              <w:rPr>
                <w:rFonts w:ascii="Calibri" w:hAnsi="Calibri"/>
                <w:b w:val="0"/>
                <w:color w:val="334155"/>
                <w:sz w:val="19"/>
              </w:rPr>
              <w:t>Prompt injection documents, unauthorized role transitions, payment duplication and data leakage.</w:t>
            </w:r>
          </w:p>
        </w:tc>
      </w:tr>
      <w:tr>
        <w:tc>
          <w:tcPr>
            <w:tcW w:type="dxa" w:w="4968"/>
            <w:vAlign w:val="center"/>
          </w:tcPr>
          <w:p>
            <w:r/>
            <w:r>
              <w:rPr>
                <w:rFonts w:ascii="Calibri" w:hAnsi="Calibri"/>
                <w:b w:val="0"/>
                <w:color w:val="334155"/>
                <w:sz w:val="19"/>
              </w:rPr>
              <w:t>Regression tests</w:t>
            </w:r>
          </w:p>
        </w:tc>
        <w:tc>
          <w:tcPr>
            <w:tcW w:type="dxa" w:w="4968"/>
            <w:vAlign w:val="center"/>
          </w:tcPr>
          <w:p>
            <w:r/>
            <w:r>
              <w:rPr>
                <w:rFonts w:ascii="Calibri" w:hAnsi="Calibri"/>
                <w:b w:val="0"/>
                <w:color w:val="334155"/>
                <w:sz w:val="19"/>
              </w:rPr>
              <w:t>Existing invoice/PO/ticket workflows continue working without agents enabled.</w:t>
            </w:r>
          </w:p>
        </w:tc>
      </w:tr>
    </w:tbl>
    <w:p/>
    <w:p>
      <w:pPr>
        <w:pStyle w:val="Heading1"/>
      </w:pPr>
      <w:r>
        <w:t>13. Phased Implementation Plan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Phase</w:t>
            </w:r>
          </w:p>
        </w:tc>
        <w:tc>
          <w:tcPr>
            <w:tcW w:type="dxa" w:w="3312"/>
            <w:vAlign w:val="center"/>
            <w:shd w:fill="F2F4F7"/>
          </w:tcPr>
          <w:p>
            <w:r/>
            <w:r>
              <w:rPr>
                <w:rFonts w:ascii="Calibri" w:hAnsi="Calibri"/>
                <w:b/>
                <w:color w:val="0B2545"/>
                <w:sz w:val="19"/>
              </w:rPr>
              <w:t>Scope</w:t>
            </w:r>
          </w:p>
        </w:tc>
        <w:tc>
          <w:tcPr>
            <w:tcW w:type="dxa" w:w="3312"/>
            <w:vAlign w:val="center"/>
            <w:shd w:fill="F2F4F7"/>
          </w:tcPr>
          <w:p>
            <w:r/>
            <w:r>
              <w:rPr>
                <w:rFonts w:ascii="Calibri" w:hAnsi="Calibri"/>
                <w:b/>
                <w:color w:val="0B2545"/>
                <w:sz w:val="19"/>
              </w:rPr>
              <w:t>Business Value</w:t>
            </w:r>
          </w:p>
        </w:tc>
      </w:tr>
      <w:tr>
        <w:tc>
          <w:tcPr>
            <w:tcW w:type="dxa" w:w="3312"/>
            <w:vAlign w:val="center"/>
          </w:tcPr>
          <w:p>
            <w:r/>
            <w:r>
              <w:rPr>
                <w:rFonts w:ascii="Calibri" w:hAnsi="Calibri"/>
                <w:b w:val="0"/>
                <w:color w:val="334155"/>
                <w:sz w:val="19"/>
              </w:rPr>
              <w:t>Phase 1: Assistive AI</w:t>
            </w:r>
          </w:p>
        </w:tc>
        <w:tc>
          <w:tcPr>
            <w:tcW w:type="dxa" w:w="3312"/>
            <w:vAlign w:val="center"/>
          </w:tcPr>
          <w:p>
            <w:r/>
            <w:r>
              <w:rPr>
                <w:rFonts w:ascii="Calibri" w:hAnsi="Calibri"/>
                <w:b w:val="0"/>
                <w:color w:val="334155"/>
                <w:sz w:val="19"/>
              </w:rPr>
              <w:t>Document extraction, validation checklist, missing-doc suggestions, AP summary.</w:t>
            </w:r>
          </w:p>
        </w:tc>
        <w:tc>
          <w:tcPr>
            <w:tcW w:type="dxa" w:w="3312"/>
            <w:vAlign w:val="center"/>
          </w:tcPr>
          <w:p>
            <w:r/>
            <w:r>
              <w:rPr>
                <w:rFonts w:ascii="Calibri" w:hAnsi="Calibri"/>
                <w:b w:val="0"/>
                <w:color w:val="334155"/>
                <w:sz w:val="19"/>
              </w:rPr>
              <w:t>Reduces data entry and review time quickly.</w:t>
            </w:r>
          </w:p>
        </w:tc>
      </w:tr>
      <w:tr>
        <w:tc>
          <w:tcPr>
            <w:tcW w:type="dxa" w:w="3312"/>
            <w:vAlign w:val="center"/>
          </w:tcPr>
          <w:p>
            <w:r/>
            <w:r>
              <w:rPr>
                <w:rFonts w:ascii="Calibri" w:hAnsi="Calibri"/>
                <w:b w:val="0"/>
                <w:color w:val="334155"/>
                <w:sz w:val="19"/>
              </w:rPr>
              <w:t>Phase 2: Semi-autonomous workflow</w:t>
            </w:r>
          </w:p>
        </w:tc>
        <w:tc>
          <w:tcPr>
            <w:tcW w:type="dxa" w:w="3312"/>
            <w:vAlign w:val="center"/>
          </w:tcPr>
          <w:p>
            <w:r/>
            <w:r>
              <w:rPr>
                <w:rFonts w:ascii="Calibri" w:hAnsi="Calibri"/>
                <w:b w:val="0"/>
                <w:color w:val="334155"/>
                <w:sz w:val="19"/>
              </w:rPr>
              <w:t>Agent jobs, recommendations, reminders, duplicate risk, WHT/voucher draft.</w:t>
            </w:r>
          </w:p>
        </w:tc>
        <w:tc>
          <w:tcPr>
            <w:tcW w:type="dxa" w:w="3312"/>
            <w:vAlign w:val="center"/>
          </w:tcPr>
          <w:p>
            <w:r/>
            <w:r>
              <w:rPr>
                <w:rFonts w:ascii="Calibri" w:hAnsi="Calibri"/>
                <w:b w:val="0"/>
                <w:color w:val="334155"/>
                <w:sz w:val="19"/>
              </w:rPr>
              <w:t>Cuts repetitive AP work while humans approve key decisions.</w:t>
            </w:r>
          </w:p>
        </w:tc>
      </w:tr>
      <w:tr>
        <w:tc>
          <w:tcPr>
            <w:tcW w:type="dxa" w:w="3312"/>
            <w:vAlign w:val="center"/>
          </w:tcPr>
          <w:p>
            <w:r/>
            <w:r>
              <w:rPr>
                <w:rFonts w:ascii="Calibri" w:hAnsi="Calibri"/>
                <w:b w:val="0"/>
                <w:color w:val="334155"/>
                <w:sz w:val="19"/>
              </w:rPr>
              <w:t>Phase 3: Integration agents</w:t>
            </w:r>
          </w:p>
        </w:tc>
        <w:tc>
          <w:tcPr>
            <w:tcW w:type="dxa" w:w="3312"/>
            <w:vAlign w:val="center"/>
          </w:tcPr>
          <w:p>
            <w:r/>
            <w:r>
              <w:rPr>
                <w:rFonts w:ascii="Calibri" w:hAnsi="Calibri"/>
                <w:b w:val="0"/>
                <w:color w:val="334155"/>
                <w:sz w:val="19"/>
              </w:rPr>
              <w:t>Xero assistant, payment gateway reconciliation, notification automation.</w:t>
            </w:r>
          </w:p>
        </w:tc>
        <w:tc>
          <w:tcPr>
            <w:tcW w:type="dxa" w:w="3312"/>
            <w:vAlign w:val="center"/>
          </w:tcPr>
          <w:p>
            <w:r/>
            <w:r>
              <w:rPr>
                <w:rFonts w:ascii="Calibri" w:hAnsi="Calibri"/>
                <w:b w:val="0"/>
                <w:color w:val="334155"/>
                <w:sz w:val="19"/>
              </w:rPr>
              <w:t>Reduces finance close and reconciliation effort.</w:t>
            </w:r>
          </w:p>
        </w:tc>
      </w:tr>
      <w:tr>
        <w:tc>
          <w:tcPr>
            <w:tcW w:type="dxa" w:w="3312"/>
            <w:vAlign w:val="center"/>
          </w:tcPr>
          <w:p>
            <w:r/>
            <w:r>
              <w:rPr>
                <w:rFonts w:ascii="Calibri" w:hAnsi="Calibri"/>
                <w:b w:val="0"/>
                <w:color w:val="334155"/>
                <w:sz w:val="19"/>
              </w:rPr>
              <w:t>Phase 4: Predictive operations</w:t>
            </w:r>
          </w:p>
        </w:tc>
        <w:tc>
          <w:tcPr>
            <w:tcW w:type="dxa" w:w="3312"/>
            <w:vAlign w:val="center"/>
          </w:tcPr>
          <w:p>
            <w:r/>
            <w:r>
              <w:rPr>
                <w:rFonts w:ascii="Calibri" w:hAnsi="Calibri"/>
                <w:b w:val="0"/>
                <w:color w:val="334155"/>
                <w:sz w:val="19"/>
              </w:rPr>
              <w:t>SLA prediction, anomaly detection, self-healing jobs, conversational assistant.</w:t>
            </w:r>
          </w:p>
        </w:tc>
        <w:tc>
          <w:tcPr>
            <w:tcW w:type="dxa" w:w="3312"/>
            <w:vAlign w:val="center"/>
          </w:tcPr>
          <w:p>
            <w:r/>
            <w:r>
              <w:rPr>
                <w:rFonts w:ascii="Calibri" w:hAnsi="Calibri"/>
                <w:b w:val="0"/>
                <w:color w:val="334155"/>
                <w:sz w:val="19"/>
              </w:rPr>
              <w:t>Improves control, forecasting and exception handling.</w:t>
            </w:r>
          </w:p>
        </w:tc>
      </w:tr>
    </w:tbl>
    <w:p/>
    <w:p>
      <w:pPr>
        <w:pStyle w:val="Heading1"/>
      </w:pPr>
      <w:r>
        <w:t>14. Immediate Implementation Backlog</w:t>
      </w:r>
    </w:p>
    <w:p>
      <w:pPr>
        <w:pStyle w:val="ListNumber"/>
      </w:pPr>
      <w:r>
        <w:t>Create AgentJob, AgentRun and AgentRecommendation tables with audit-friendly metadata.</w:t>
      </w:r>
    </w:p>
    <w:p>
      <w:pPr>
        <w:pStyle w:val="ListNumber"/>
      </w:pPr>
      <w:r>
        <w:t>Add background worker/orchestrator service and event triggers for invoice upload, approval, AP stage, Xero and payment events.</w:t>
      </w:r>
    </w:p>
    <w:p>
      <w:pPr>
        <w:pStyle w:val="ListNumber"/>
      </w:pPr>
      <w:r>
        <w:t>Build Document Intake Agent for OCR/extraction with confidence fields.</w:t>
      </w:r>
    </w:p>
    <w:p>
      <w:pPr>
        <w:pStyle w:val="ListNumber"/>
      </w:pPr>
      <w:r>
        <w:t>Build Validation/Risk Agent for duplicate, missing docs, PO sync and vendor account checks.</w:t>
      </w:r>
    </w:p>
    <w:p>
      <w:pPr>
        <w:pStyle w:val="ListNumber"/>
      </w:pPr>
      <w:r>
        <w:t>Add AI extraction and validation UI cards to Invoice Detail and Ticket Detail.</w:t>
      </w:r>
    </w:p>
    <w:p>
      <w:pPr>
        <w:pStyle w:val="ListNumber"/>
      </w:pPr>
      <w:r>
        <w:t>Add agent badges to AP Board and Head Board.</w:t>
      </w:r>
    </w:p>
    <w:p>
      <w:pPr>
        <w:pStyle w:val="ListNumber"/>
      </w:pPr>
      <w:r>
        <w:t>Add Notification Agent for reminders and missing-doc follow-ups.</w:t>
      </w:r>
    </w:p>
    <w:p>
      <w:pPr>
        <w:pStyle w:val="ListNumber"/>
      </w:pPr>
      <w:r>
        <w:t>Add QA/Workflow Agent with Playwright/API scenario tests.</w:t>
      </w:r>
    </w:p>
    <w:p>
      <w:pPr>
        <w:pStyle w:val="Heading1"/>
      </w:pPr>
      <w:r>
        <w:t>15. Success Metrics</w:t>
      </w:r>
    </w:p>
    <w:p>
      <w:pPr>
        <w:pStyle w:val="ListBullet"/>
      </w:pPr>
      <w:r>
        <w:t>Reduce clean invoice processing from roughly 3 days toward 1 day.</w:t>
      </w:r>
    </w:p>
    <w:p>
      <w:pPr>
        <w:pStyle w:val="ListBullet"/>
      </w:pPr>
      <w:r>
        <w:t>Reduce manual data entry by 70-85%.</w:t>
      </w:r>
    </w:p>
    <w:p>
      <w:pPr>
        <w:pStyle w:val="ListBullet"/>
      </w:pPr>
      <w:r>
        <w:t>Reduce missing-doc follow-up effort by 60-80%.</w:t>
      </w:r>
    </w:p>
    <w:p>
      <w:pPr>
        <w:pStyle w:val="ListBullet"/>
      </w:pPr>
      <w:r>
        <w:t>Reduce daily reporting/follow-up effort by 80-90%.</w:t>
      </w:r>
    </w:p>
    <w:p>
      <w:pPr>
        <w:pStyle w:val="ListBullet"/>
      </w:pPr>
      <w:r>
        <w:t>Maintain zero unauthorized payment release and zero duplicate Xero bill creation.</w:t>
      </w:r>
    </w:p>
    <w:p>
      <w:pPr>
        <w:pStyle w:val="ListBullet"/>
      </w:pPr>
      <w:r>
        <w:t>Track AI override rate and keep high-risk auto-actions at 0 without human approval.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