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B2545"/>
          <w:sz w:val="48"/>
        </w:rPr>
        <w:t>Company AP Automation Documentation Pack</w:t>
      </w:r>
    </w:p>
    <w:p>
      <w:r>
        <w:rPr>
          <w:rFonts w:ascii="Calibri" w:hAnsi="Calibri"/>
          <w:color w:val="64748B"/>
          <w:sz w:val="22"/>
        </w:rPr>
        <w:t>Business canvas, process flow, architecture, integrations, swimlane, application design and PRD</w:t>
      </w:r>
    </w:p>
    <w:p>
      <w:r>
        <w:rPr>
          <w:color w:val="64748B"/>
          <w:sz w:val="18"/>
        </w:rPr>
        <w:t>Generated: 21 May 2026 | Project: Company AP Automation</w:t>
      </w:r>
    </w:p>
    <w:p>
      <w:pPr>
        <w:pStyle w:val="Heading1"/>
      </w:pPr>
      <w:r>
        <w:t>Executive Summary</w:t>
      </w:r>
    </w:p>
    <w:p>
      <w:r>
        <w:t>This documentation pack reflects the current project implementation in the local repository. The solution consolidates department invoice creation, PO synchronization, department head approval, AP finance processing, Xero bookkeeping, bank execution and requester closeout into one role-based AP automation application.</w:t>
      </w:r>
    </w:p>
    <w:p>
      <w:pPr>
        <w:pStyle w:val="Heading1"/>
      </w:pPr>
      <w:r>
        <w:t>Implemented Scope Snapshot</w:t>
      </w:r>
    </w:p>
    <w:p>
      <w:pPr>
        <w:pStyle w:val="ListBullet"/>
      </w:pPr>
      <w:r>
        <w:t>React frontend with login, AP/head board, dashboard, operations, invoice detail and ticket detail screens.</w:t>
      </w:r>
    </w:p>
    <w:p>
      <w:pPr>
        <w:pStyle w:val="ListBullet"/>
      </w:pPr>
      <w:r>
        <w:t>NestJS API with auth, invoices, approvals, tickets, payment operations, Xero and reference modules.</w:t>
      </w:r>
    </w:p>
    <w:p>
      <w:pPr>
        <w:pStyle w:val="ListBullet"/>
      </w:pPr>
      <w:r>
        <w:t>Prisma/Postgres domain model covering invoices, POs, tickets, activities, attachments, vendors, payments, approvals and notifications.</w:t>
      </w:r>
    </w:p>
    <w:p>
      <w:pPr>
        <w:pStyle w:val="ListBullet"/>
      </w:pPr>
      <w:r>
        <w:t>Department head approval column and read-only decision portal.</w:t>
      </w:r>
    </w:p>
    <w:p>
      <w:pPr>
        <w:pStyle w:val="ListBullet"/>
      </w:pPr>
      <w:r>
        <w:t>Comments, downloadable attachments and closed-ticket audit locking.</w:t>
      </w:r>
    </w:p>
    <w:p>
      <w:pPr>
        <w:pStyle w:val="ListBullet"/>
      </w:pPr>
      <w:r>
        <w:t>Payment gateway flow for bank execution, Xero paid marking, requester notification and ticket close.</w:t>
      </w:r>
    </w:p>
    <w:p>
      <w:pPr>
        <w:pStyle w:val="Heading1"/>
      </w:pPr>
      <w:r>
        <w:t>1. Business Canvas</w:t>
      </w:r>
    </w:p>
    <w:p>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01_business_canvas.jpg"/>
                    <pic:cNvPicPr/>
                  </pic:nvPicPr>
                  <pic:blipFill>
                    <a:blip r:embed="rId9"/>
                    <a:stretch>
                      <a:fillRect/>
                    </a:stretch>
                  </pic:blipFill>
                  <pic:spPr>
                    <a:xfrm>
                      <a:off x="0" y="0"/>
                      <a:ext cx="6035040" cy="4023360"/>
                    </a:xfrm>
                    <a:prstGeom prst="rect"/>
                  </pic:spPr>
                </pic:pic>
              </a:graphicData>
            </a:graphic>
          </wp:inline>
        </w:drawing>
      </w:r>
    </w:p>
    <w:p>
      <w:pPr>
        <w:jc w:val="center"/>
      </w:pPr>
      <w:r>
        <w:rPr>
          <w:color w:val="64748B"/>
          <w:sz w:val="16"/>
        </w:rPr>
        <w:t>Business canvas</w:t>
      </w:r>
    </w:p>
    <w:p>
      <w:pPr>
        <w:pStyle w:val="Heading1"/>
      </w:pPr>
      <w:r>
        <w:t>2. Process Flow</w:t>
      </w:r>
    </w:p>
    <w:p>
      <w:r>
        <w:drawing>
          <wp:inline xmlns:a="http://schemas.openxmlformats.org/drawingml/2006/main" xmlns:pic="http://schemas.openxmlformats.org/drawingml/2006/picture">
            <wp:extent cx="6035040" cy="3945988"/>
            <wp:docPr id="2" name="Picture 2"/>
            <wp:cNvGraphicFramePr>
              <a:graphicFrameLocks noChangeAspect="1"/>
            </wp:cNvGraphicFramePr>
            <a:graphic>
              <a:graphicData uri="http://schemas.openxmlformats.org/drawingml/2006/picture">
                <pic:pic>
                  <pic:nvPicPr>
                    <pic:cNvPr id="0" name="02_process_flow.jpg"/>
                    <pic:cNvPicPr/>
                  </pic:nvPicPr>
                  <pic:blipFill>
                    <a:blip r:embed="rId10"/>
                    <a:stretch>
                      <a:fillRect/>
                    </a:stretch>
                  </pic:blipFill>
                  <pic:spPr>
                    <a:xfrm>
                      <a:off x="0" y="0"/>
                      <a:ext cx="6035040" cy="3945988"/>
                    </a:xfrm>
                    <a:prstGeom prst="rect"/>
                  </pic:spPr>
                </pic:pic>
              </a:graphicData>
            </a:graphic>
          </wp:inline>
        </w:drawing>
      </w:r>
    </w:p>
    <w:p>
      <w:pPr>
        <w:jc w:val="center"/>
      </w:pPr>
      <w:r>
        <w:rPr>
          <w:color w:val="64748B"/>
          <w:sz w:val="16"/>
        </w:rPr>
        <w:t>Process flow</w:t>
      </w:r>
    </w:p>
    <w:p>
      <w:pPr>
        <w:pStyle w:val="Heading1"/>
      </w:pPr>
      <w:r>
        <w:t>3. Functional Architecture Diagram</w:t>
      </w:r>
    </w:p>
    <w:p>
      <w:r>
        <w:drawing>
          <wp:inline xmlns:a="http://schemas.openxmlformats.org/drawingml/2006/main" xmlns:pic="http://schemas.openxmlformats.org/drawingml/2006/picture">
            <wp:extent cx="6035040" cy="3862426"/>
            <wp:docPr id="3" name="Picture 3"/>
            <wp:cNvGraphicFramePr>
              <a:graphicFrameLocks noChangeAspect="1"/>
            </wp:cNvGraphicFramePr>
            <a:graphic>
              <a:graphicData uri="http://schemas.openxmlformats.org/drawingml/2006/picture">
                <pic:pic>
                  <pic:nvPicPr>
                    <pic:cNvPr id="0" name="03_functional_architecture.jpg"/>
                    <pic:cNvPicPr/>
                  </pic:nvPicPr>
                  <pic:blipFill>
                    <a:blip r:embed="rId11"/>
                    <a:stretch>
                      <a:fillRect/>
                    </a:stretch>
                  </pic:blipFill>
                  <pic:spPr>
                    <a:xfrm>
                      <a:off x="0" y="0"/>
                      <a:ext cx="6035040" cy="3862426"/>
                    </a:xfrm>
                    <a:prstGeom prst="rect"/>
                  </pic:spPr>
                </pic:pic>
              </a:graphicData>
            </a:graphic>
          </wp:inline>
        </w:drawing>
      </w:r>
    </w:p>
    <w:p>
      <w:pPr>
        <w:jc w:val="center"/>
      </w:pPr>
      <w:r>
        <w:rPr>
          <w:color w:val="64748B"/>
          <w:sz w:val="16"/>
        </w:rPr>
        <w:t>Functional architecture</w:t>
      </w:r>
    </w:p>
    <w:p>
      <w:pPr>
        <w:pStyle w:val="Heading1"/>
      </w:pPr>
      <w:r>
        <w:t>4. Integration Diagram</w:t>
      </w:r>
    </w:p>
    <w:p>
      <w:r>
        <w:drawing>
          <wp:inline xmlns:a="http://schemas.openxmlformats.org/drawingml/2006/main" xmlns:pic="http://schemas.openxmlformats.org/drawingml/2006/picture">
            <wp:extent cx="6035040" cy="3771900"/>
            <wp:docPr id="4" name="Picture 4"/>
            <wp:cNvGraphicFramePr>
              <a:graphicFrameLocks noChangeAspect="1"/>
            </wp:cNvGraphicFramePr>
            <a:graphic>
              <a:graphicData uri="http://schemas.openxmlformats.org/drawingml/2006/picture">
                <pic:pic>
                  <pic:nvPicPr>
                    <pic:cNvPr id="0" name="04_integration_diagram.jpg"/>
                    <pic:cNvPicPr/>
                  </pic:nvPicPr>
                  <pic:blipFill>
                    <a:blip r:embed="rId12"/>
                    <a:stretch>
                      <a:fillRect/>
                    </a:stretch>
                  </pic:blipFill>
                  <pic:spPr>
                    <a:xfrm>
                      <a:off x="0" y="0"/>
                      <a:ext cx="6035040" cy="3771900"/>
                    </a:xfrm>
                    <a:prstGeom prst="rect"/>
                  </pic:spPr>
                </pic:pic>
              </a:graphicData>
            </a:graphic>
          </wp:inline>
        </w:drawing>
      </w:r>
    </w:p>
    <w:p>
      <w:pPr>
        <w:jc w:val="center"/>
      </w:pPr>
      <w:r>
        <w:rPr>
          <w:color w:val="64748B"/>
          <w:sz w:val="16"/>
        </w:rPr>
        <w:t>Integration diagram</w:t>
      </w:r>
    </w:p>
    <w:p>
      <w:pPr>
        <w:pStyle w:val="Heading1"/>
      </w:pPr>
      <w:r>
        <w:t>5. Swimlane Diagram</w:t>
      </w:r>
    </w:p>
    <w:p>
      <w:r>
        <w:drawing>
          <wp:inline xmlns:a="http://schemas.openxmlformats.org/drawingml/2006/main" xmlns:pic="http://schemas.openxmlformats.org/drawingml/2006/picture">
            <wp:extent cx="6035040" cy="3822192"/>
            <wp:docPr id="5" name="Picture 5"/>
            <wp:cNvGraphicFramePr>
              <a:graphicFrameLocks noChangeAspect="1"/>
            </wp:cNvGraphicFramePr>
            <a:graphic>
              <a:graphicData uri="http://schemas.openxmlformats.org/drawingml/2006/picture">
                <pic:pic>
                  <pic:nvPicPr>
                    <pic:cNvPr id="0" name="05_swimlane_diagram.jpg"/>
                    <pic:cNvPicPr/>
                  </pic:nvPicPr>
                  <pic:blipFill>
                    <a:blip r:embed="rId13"/>
                    <a:stretch>
                      <a:fillRect/>
                    </a:stretch>
                  </pic:blipFill>
                  <pic:spPr>
                    <a:xfrm>
                      <a:off x="0" y="0"/>
                      <a:ext cx="6035040" cy="3822192"/>
                    </a:xfrm>
                    <a:prstGeom prst="rect"/>
                  </pic:spPr>
                </pic:pic>
              </a:graphicData>
            </a:graphic>
          </wp:inline>
        </w:drawing>
      </w:r>
    </w:p>
    <w:p>
      <w:pPr>
        <w:jc w:val="center"/>
      </w:pPr>
      <w:r>
        <w:rPr>
          <w:color w:val="64748B"/>
          <w:sz w:val="16"/>
        </w:rPr>
        <w:t>Swimlane diagram</w:t>
      </w:r>
    </w:p>
    <w:p>
      <w:pPr>
        <w:pStyle w:val="Heading1"/>
      </w:pPr>
      <w:r>
        <w:t>6. Application Design</w:t>
      </w:r>
    </w:p>
    <w:p>
      <w:r>
        <w:drawing>
          <wp:inline xmlns:a="http://schemas.openxmlformats.org/drawingml/2006/main" xmlns:pic="http://schemas.openxmlformats.org/drawingml/2006/picture">
            <wp:extent cx="6035040" cy="4114800"/>
            <wp:docPr id="6" name="Picture 6"/>
            <wp:cNvGraphicFramePr>
              <a:graphicFrameLocks noChangeAspect="1"/>
            </wp:cNvGraphicFramePr>
            <a:graphic>
              <a:graphicData uri="http://schemas.openxmlformats.org/drawingml/2006/picture">
                <pic:pic>
                  <pic:nvPicPr>
                    <pic:cNvPr id="0" name="06_application_design.jpg"/>
                    <pic:cNvPicPr/>
                  </pic:nvPicPr>
                  <pic:blipFill>
                    <a:blip r:embed="rId14"/>
                    <a:stretch>
                      <a:fillRect/>
                    </a:stretch>
                  </pic:blipFill>
                  <pic:spPr>
                    <a:xfrm>
                      <a:off x="0" y="0"/>
                      <a:ext cx="6035040" cy="4114800"/>
                    </a:xfrm>
                    <a:prstGeom prst="rect"/>
                  </pic:spPr>
                </pic:pic>
              </a:graphicData>
            </a:graphic>
          </wp:inline>
        </w:drawing>
      </w:r>
    </w:p>
    <w:p>
      <w:pPr>
        <w:jc w:val="center"/>
      </w:pPr>
      <w:r>
        <w:rPr>
          <w:color w:val="64748B"/>
          <w:sz w:val="16"/>
        </w:rPr>
        <w:t>Application design</w:t>
      </w:r>
    </w:p>
    <w:tbl>
      <w:tblPr>
        <w:tblStyle w:val="TableGrid"/>
        <w:tblW w:type="auto" w:w="0"/>
        <w:tblLook w:firstColumn="1" w:firstRow="1" w:lastColumn="0" w:lastRow="0" w:noHBand="0" w:noVBand="1" w:val="04A0"/>
      </w:tblPr>
      <w:tblGrid>
        <w:gridCol w:w="4968"/>
        <w:gridCol w:w="4968"/>
      </w:tblGrid>
      <w:tr>
        <w:tc>
          <w:tcPr>
            <w:tcW w:type="dxa" w:w="4968"/>
            <w:vAlign w:val="center"/>
            <w:shd w:fill="F2F4F7"/>
          </w:tcPr>
          <w:p>
            <w:r/>
            <w:r>
              <w:rPr>
                <w:rFonts w:ascii="Calibri" w:hAnsi="Calibri"/>
                <w:b/>
                <w:color w:val="0B2545"/>
                <w:sz w:val="19"/>
              </w:rPr>
              <w:t>Role</w:t>
            </w:r>
          </w:p>
        </w:tc>
        <w:tc>
          <w:tcPr>
            <w:tcW w:type="dxa" w:w="4968"/>
            <w:vAlign w:val="center"/>
            <w:shd w:fill="F2F4F7"/>
          </w:tcPr>
          <w:p>
            <w:r/>
            <w:r>
              <w:rPr>
                <w:rFonts w:ascii="Calibri" w:hAnsi="Calibri"/>
                <w:b/>
                <w:color w:val="0B2545"/>
                <w:sz w:val="19"/>
              </w:rPr>
              <w:t>Responsibility</w:t>
            </w:r>
          </w:p>
        </w:tc>
      </w:tr>
      <w:tr>
        <w:tc>
          <w:tcPr>
            <w:tcW w:type="dxa" w:w="4968"/>
            <w:vAlign w:val="center"/>
          </w:tcPr>
          <w:p>
            <w:r/>
            <w:r>
              <w:rPr>
                <w:rFonts w:ascii="Calibri" w:hAnsi="Calibri"/>
                <w:b w:val="0"/>
                <w:color w:val="334155"/>
                <w:sz w:val="19"/>
              </w:rPr>
              <w:t>DEPT_USER</w:t>
            </w:r>
          </w:p>
        </w:tc>
        <w:tc>
          <w:tcPr>
            <w:tcW w:type="dxa" w:w="4968"/>
            <w:vAlign w:val="center"/>
          </w:tcPr>
          <w:p>
            <w:r/>
            <w:r>
              <w:rPr>
                <w:rFonts w:ascii="Calibri" w:hAnsi="Calibri"/>
                <w:b w:val="0"/>
                <w:color w:val="334155"/>
                <w:sz w:val="19"/>
              </w:rPr>
              <w:t>Create invoice/PO, complete department fields, respond to rejection or missing docs.</w:t>
            </w:r>
          </w:p>
        </w:tc>
      </w:tr>
      <w:tr>
        <w:tc>
          <w:tcPr>
            <w:tcW w:type="dxa" w:w="4968"/>
            <w:vAlign w:val="center"/>
          </w:tcPr>
          <w:p>
            <w:r/>
            <w:r>
              <w:rPr>
                <w:rFonts w:ascii="Calibri" w:hAnsi="Calibri"/>
                <w:b w:val="0"/>
                <w:color w:val="334155"/>
                <w:sz w:val="19"/>
              </w:rPr>
              <w:t>DEPT_ADMIN</w:t>
            </w:r>
          </w:p>
        </w:tc>
        <w:tc>
          <w:tcPr>
            <w:tcW w:type="dxa" w:w="4968"/>
            <w:vAlign w:val="center"/>
          </w:tcPr>
          <w:p>
            <w:r/>
            <w:r>
              <w:rPr>
                <w:rFonts w:ascii="Calibri" w:hAnsi="Calibri"/>
                <w:b w:val="0"/>
                <w:color w:val="334155"/>
                <w:sz w:val="19"/>
              </w:rPr>
              <w:t>View department head board, read ticket, approve or reject with reason.</w:t>
            </w:r>
          </w:p>
        </w:tc>
      </w:tr>
      <w:tr>
        <w:tc>
          <w:tcPr>
            <w:tcW w:type="dxa" w:w="4968"/>
            <w:vAlign w:val="center"/>
          </w:tcPr>
          <w:p>
            <w:r/>
            <w:r>
              <w:rPr>
                <w:rFonts w:ascii="Calibri" w:hAnsi="Calibri"/>
                <w:b w:val="0"/>
                <w:color w:val="334155"/>
                <w:sz w:val="19"/>
              </w:rPr>
              <w:t>AP_CLERK</w:t>
            </w:r>
          </w:p>
        </w:tc>
        <w:tc>
          <w:tcPr>
            <w:tcW w:type="dxa" w:w="4968"/>
            <w:vAlign w:val="center"/>
          </w:tcPr>
          <w:p>
            <w:r/>
            <w:r>
              <w:rPr>
                <w:rFonts w:ascii="Calibri" w:hAnsi="Calibri"/>
                <w:b w:val="0"/>
                <w:color w:val="334155"/>
                <w:sz w:val="19"/>
              </w:rPr>
              <w:t>Run finance workflow, assign AP/CFO, verify docs/data, WHT, Xero, bank and close.</w:t>
            </w:r>
          </w:p>
        </w:tc>
      </w:tr>
      <w:tr>
        <w:tc>
          <w:tcPr>
            <w:tcW w:type="dxa" w:w="4968"/>
            <w:vAlign w:val="center"/>
          </w:tcPr>
          <w:p>
            <w:r/>
            <w:r>
              <w:rPr>
                <w:rFonts w:ascii="Calibri" w:hAnsi="Calibri"/>
                <w:b w:val="0"/>
                <w:color w:val="334155"/>
                <w:sz w:val="19"/>
              </w:rPr>
              <w:t>CFO</w:t>
            </w:r>
          </w:p>
        </w:tc>
        <w:tc>
          <w:tcPr>
            <w:tcW w:type="dxa" w:w="4968"/>
            <w:vAlign w:val="center"/>
          </w:tcPr>
          <w:p>
            <w:r/>
            <w:r>
              <w:rPr>
                <w:rFonts w:ascii="Calibri" w:hAnsi="Calibri"/>
                <w:b w:val="0"/>
                <w:color w:val="334155"/>
                <w:sz w:val="19"/>
              </w:rPr>
              <w:t>Open CFO sign pending tickets and record bank authorization.</w:t>
            </w:r>
          </w:p>
        </w:tc>
      </w:tr>
      <w:tr>
        <w:tc>
          <w:tcPr>
            <w:tcW w:type="dxa" w:w="4968"/>
            <w:vAlign w:val="center"/>
          </w:tcPr>
          <w:p>
            <w:r/>
            <w:r>
              <w:rPr>
                <w:rFonts w:ascii="Calibri" w:hAnsi="Calibri"/>
                <w:b w:val="0"/>
                <w:color w:val="334155"/>
                <w:sz w:val="19"/>
              </w:rPr>
              <w:t>COMPANY_ADMIN</w:t>
            </w:r>
          </w:p>
        </w:tc>
        <w:tc>
          <w:tcPr>
            <w:tcW w:type="dxa" w:w="4968"/>
            <w:vAlign w:val="center"/>
          </w:tcPr>
          <w:p>
            <w:r/>
            <w:r>
              <w:rPr>
                <w:rFonts w:ascii="Calibri" w:hAnsi="Calibri"/>
                <w:b w:val="0"/>
                <w:color w:val="334155"/>
                <w:sz w:val="19"/>
              </w:rPr>
              <w:t>Full administrative scope across departments, operations, Xero setup and rules.</w:t>
            </w:r>
          </w:p>
        </w:tc>
      </w:tr>
    </w:tbl>
    <w:p/>
    <w:p>
      <w:pPr>
        <w:pStyle w:val="Heading1"/>
      </w:pPr>
      <w:r>
        <w:t>7. Product Requirements Document</w:t>
      </w:r>
    </w:p>
    <w:p>
      <w:r>
        <w:t>The PRD defines the product goal as replacing fragmented AP tracking with a governed, role-scoped workflow that reduces cycle time and manual entry while preserving finance controls.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F2F4F7"/>
          </w:tcPr>
          <w:p>
            <w:r/>
            <w:r>
              <w:rPr>
                <w:rFonts w:ascii="Calibri" w:hAnsi="Calibri"/>
                <w:b/>
                <w:color w:val="0B2545"/>
                <w:sz w:val="19"/>
              </w:rPr>
              <w:t>Step</w:t>
            </w:r>
          </w:p>
        </w:tc>
        <w:tc>
          <w:tcPr>
            <w:tcW w:type="dxa" w:w="2484"/>
            <w:vAlign w:val="center"/>
            <w:shd w:fill="F2F4F7"/>
          </w:tcPr>
          <w:p>
            <w:r/>
            <w:r>
              <w:rPr>
                <w:rFonts w:ascii="Calibri" w:hAnsi="Calibri"/>
                <w:b/>
                <w:color w:val="0B2545"/>
                <w:sz w:val="19"/>
              </w:rPr>
              <w:t>Stage</w:t>
            </w:r>
          </w:p>
        </w:tc>
        <w:tc>
          <w:tcPr>
            <w:tcW w:type="dxa" w:w="2484"/>
            <w:vAlign w:val="center"/>
            <w:shd w:fill="F2F4F7"/>
          </w:tcPr>
          <w:p>
            <w:r/>
            <w:r>
              <w:rPr>
                <w:rFonts w:ascii="Calibri" w:hAnsi="Calibri"/>
                <w:b/>
                <w:color w:val="0B2545"/>
                <w:sz w:val="19"/>
              </w:rPr>
              <w:t>Owner</w:t>
            </w:r>
          </w:p>
        </w:tc>
        <w:tc>
          <w:tcPr>
            <w:tcW w:type="dxa" w:w="2484"/>
            <w:vAlign w:val="center"/>
            <w:shd w:fill="F2F4F7"/>
          </w:tcPr>
          <w:p>
            <w:r/>
            <w:r>
              <w:rPr>
                <w:rFonts w:ascii="Calibri" w:hAnsi="Calibri"/>
                <w:b/>
                <w:color w:val="0B2545"/>
                <w:sz w:val="19"/>
              </w:rPr>
              <w:t>Output</w:t>
            </w:r>
          </w:p>
        </w:tc>
      </w:tr>
      <w:tr>
        <w:tc>
          <w:tcPr>
            <w:tcW w:type="dxa" w:w="2484"/>
            <w:vAlign w:val="center"/>
          </w:tcPr>
          <w:p>
            <w:r/>
            <w:r>
              <w:rPr>
                <w:rFonts w:ascii="Calibri" w:hAnsi="Calibri"/>
                <w:b w:val="0"/>
                <w:color w:val="334155"/>
                <w:sz w:val="19"/>
              </w:rPr>
              <w:t>1</w:t>
            </w:r>
          </w:p>
        </w:tc>
        <w:tc>
          <w:tcPr>
            <w:tcW w:type="dxa" w:w="2484"/>
            <w:vAlign w:val="center"/>
          </w:tcPr>
          <w:p>
            <w:r/>
            <w:r>
              <w:rPr>
                <w:rFonts w:ascii="Calibri" w:hAnsi="Calibri"/>
                <w:b w:val="0"/>
                <w:color w:val="334155"/>
                <w:sz w:val="19"/>
              </w:rPr>
              <w:t>Department creates invoice</w:t>
            </w:r>
          </w:p>
        </w:tc>
        <w:tc>
          <w:tcPr>
            <w:tcW w:type="dxa" w:w="2484"/>
            <w:vAlign w:val="center"/>
          </w:tcPr>
          <w:p>
            <w:r/>
            <w:r>
              <w:rPr>
                <w:rFonts w:ascii="Calibri" w:hAnsi="Calibri"/>
                <w:b w:val="0"/>
                <w:color w:val="334155"/>
                <w:sz w:val="19"/>
              </w:rPr>
              <w:t>DEPT_USER / COMPANY_ADMIN</w:t>
            </w:r>
          </w:p>
        </w:tc>
        <w:tc>
          <w:tcPr>
            <w:tcW w:type="dxa" w:w="2484"/>
            <w:vAlign w:val="center"/>
          </w:tcPr>
          <w:p>
            <w:r/>
            <w:r>
              <w:rPr>
                <w:rFonts w:ascii="Calibri" w:hAnsi="Calibri"/>
                <w:b w:val="0"/>
                <w:color w:val="334155"/>
                <w:sz w:val="19"/>
              </w:rPr>
              <w:t>Invoice + synced PO draft, AP ticket NEW_REQUEST</w:t>
            </w:r>
          </w:p>
        </w:tc>
      </w:tr>
      <w:tr>
        <w:tc>
          <w:tcPr>
            <w:tcW w:type="dxa" w:w="2484"/>
            <w:vAlign w:val="center"/>
          </w:tcPr>
          <w:p>
            <w:r/>
            <w:r>
              <w:rPr>
                <w:rFonts w:ascii="Calibri" w:hAnsi="Calibri"/>
                <w:b w:val="0"/>
                <w:color w:val="334155"/>
                <w:sz w:val="19"/>
              </w:rPr>
              <w:t>2</w:t>
            </w:r>
          </w:p>
        </w:tc>
        <w:tc>
          <w:tcPr>
            <w:tcW w:type="dxa" w:w="2484"/>
            <w:vAlign w:val="center"/>
          </w:tcPr>
          <w:p>
            <w:r/>
            <w:r>
              <w:rPr>
                <w:rFonts w:ascii="Calibri" w:hAnsi="Calibri"/>
                <w:b w:val="0"/>
                <w:color w:val="334155"/>
                <w:sz w:val="19"/>
              </w:rPr>
              <w:t>Agent verification</w:t>
            </w:r>
          </w:p>
        </w:tc>
        <w:tc>
          <w:tcPr>
            <w:tcW w:type="dxa" w:w="2484"/>
            <w:vAlign w:val="center"/>
          </w:tcPr>
          <w:p>
            <w:r/>
            <w:r>
              <w:rPr>
                <w:rFonts w:ascii="Calibri" w:hAnsi="Calibri"/>
                <w:b w:val="0"/>
                <w:color w:val="334155"/>
                <w:sz w:val="19"/>
              </w:rPr>
              <w:t>System</w:t>
            </w:r>
          </w:p>
        </w:tc>
        <w:tc>
          <w:tcPr>
            <w:tcW w:type="dxa" w:w="2484"/>
            <w:vAlign w:val="center"/>
          </w:tcPr>
          <w:p>
            <w:r/>
            <w:r>
              <w:rPr>
                <w:rFonts w:ascii="Calibri" w:hAnsi="Calibri"/>
                <w:b w:val="0"/>
                <w:color w:val="334155"/>
                <w:sz w:val="19"/>
              </w:rPr>
              <w:t>Required fields, vendor, account, PO and amount checks</w:t>
            </w:r>
          </w:p>
        </w:tc>
      </w:tr>
      <w:tr>
        <w:tc>
          <w:tcPr>
            <w:tcW w:type="dxa" w:w="2484"/>
            <w:vAlign w:val="center"/>
          </w:tcPr>
          <w:p>
            <w:r/>
            <w:r>
              <w:rPr>
                <w:rFonts w:ascii="Calibri" w:hAnsi="Calibri"/>
                <w:b w:val="0"/>
                <w:color w:val="334155"/>
                <w:sz w:val="19"/>
              </w:rPr>
              <w:t>3</w:t>
            </w:r>
          </w:p>
        </w:tc>
        <w:tc>
          <w:tcPr>
            <w:tcW w:type="dxa" w:w="2484"/>
            <w:vAlign w:val="center"/>
          </w:tcPr>
          <w:p>
            <w:r/>
            <w:r>
              <w:rPr>
                <w:rFonts w:ascii="Calibri" w:hAnsi="Calibri"/>
                <w:b w:val="0"/>
                <w:color w:val="334155"/>
                <w:sz w:val="19"/>
              </w:rPr>
              <w:t>Department head decision</w:t>
            </w:r>
          </w:p>
        </w:tc>
        <w:tc>
          <w:tcPr>
            <w:tcW w:type="dxa" w:w="2484"/>
            <w:vAlign w:val="center"/>
          </w:tcPr>
          <w:p>
            <w:r/>
            <w:r>
              <w:rPr>
                <w:rFonts w:ascii="Calibri" w:hAnsi="Calibri"/>
                <w:b w:val="0"/>
                <w:color w:val="334155"/>
                <w:sz w:val="19"/>
              </w:rPr>
              <w:t>DEPT_ADMIN</w:t>
            </w:r>
          </w:p>
        </w:tc>
        <w:tc>
          <w:tcPr>
            <w:tcW w:type="dxa" w:w="2484"/>
            <w:vAlign w:val="center"/>
          </w:tcPr>
          <w:p>
            <w:r/>
            <w:r>
              <w:rPr>
                <w:rFonts w:ascii="Calibri" w:hAnsi="Calibri"/>
                <w:b w:val="0"/>
                <w:color w:val="334155"/>
                <w:sz w:val="19"/>
              </w:rPr>
              <w:t>Approve to finance or reject with reason</w:t>
            </w:r>
          </w:p>
        </w:tc>
      </w:tr>
      <w:tr>
        <w:tc>
          <w:tcPr>
            <w:tcW w:type="dxa" w:w="2484"/>
            <w:vAlign w:val="center"/>
          </w:tcPr>
          <w:p>
            <w:r/>
            <w:r>
              <w:rPr>
                <w:rFonts w:ascii="Calibri" w:hAnsi="Calibri"/>
                <w:b w:val="0"/>
                <w:color w:val="334155"/>
                <w:sz w:val="19"/>
              </w:rPr>
              <w:t>4</w:t>
            </w:r>
          </w:p>
        </w:tc>
        <w:tc>
          <w:tcPr>
            <w:tcW w:type="dxa" w:w="2484"/>
            <w:vAlign w:val="center"/>
          </w:tcPr>
          <w:p>
            <w:r/>
            <w:r>
              <w:rPr>
                <w:rFonts w:ascii="Calibri" w:hAnsi="Calibri"/>
                <w:b w:val="0"/>
                <w:color w:val="334155"/>
                <w:sz w:val="19"/>
              </w:rPr>
              <w:t>AP document review</w:t>
            </w:r>
          </w:p>
        </w:tc>
        <w:tc>
          <w:tcPr>
            <w:tcW w:type="dxa" w:w="2484"/>
            <w:vAlign w:val="center"/>
          </w:tcPr>
          <w:p>
            <w:r/>
            <w:r>
              <w:rPr>
                <w:rFonts w:ascii="Calibri" w:hAnsi="Calibri"/>
                <w:b w:val="0"/>
                <w:color w:val="334155"/>
                <w:sz w:val="19"/>
              </w:rPr>
              <w:t>AP_CLERK</w:t>
            </w:r>
          </w:p>
        </w:tc>
        <w:tc>
          <w:tcPr>
            <w:tcW w:type="dxa" w:w="2484"/>
            <w:vAlign w:val="center"/>
          </w:tcPr>
          <w:p>
            <w:r/>
            <w:r>
              <w:rPr>
                <w:rFonts w:ascii="Calibri" w:hAnsi="Calibri"/>
                <w:b w:val="0"/>
                <w:color w:val="334155"/>
                <w:sz w:val="19"/>
              </w:rPr>
              <w:t>Complete docs or missing-doc loop to requester</w:t>
            </w:r>
          </w:p>
        </w:tc>
      </w:tr>
      <w:tr>
        <w:tc>
          <w:tcPr>
            <w:tcW w:type="dxa" w:w="2484"/>
            <w:vAlign w:val="center"/>
          </w:tcPr>
          <w:p>
            <w:r/>
            <w:r>
              <w:rPr>
                <w:rFonts w:ascii="Calibri" w:hAnsi="Calibri"/>
                <w:b w:val="0"/>
                <w:color w:val="334155"/>
                <w:sz w:val="19"/>
              </w:rPr>
              <w:t>5</w:t>
            </w:r>
          </w:p>
        </w:tc>
        <w:tc>
          <w:tcPr>
            <w:tcW w:type="dxa" w:w="2484"/>
            <w:vAlign w:val="center"/>
          </w:tcPr>
          <w:p>
            <w:r/>
            <w:r>
              <w:rPr>
                <w:rFonts w:ascii="Calibri" w:hAnsi="Calibri"/>
                <w:b w:val="0"/>
                <w:color w:val="334155"/>
                <w:sz w:val="19"/>
              </w:rPr>
              <w:t>Data verification</w:t>
            </w:r>
          </w:p>
        </w:tc>
        <w:tc>
          <w:tcPr>
            <w:tcW w:type="dxa" w:w="2484"/>
            <w:vAlign w:val="center"/>
          </w:tcPr>
          <w:p>
            <w:r/>
            <w:r>
              <w:rPr>
                <w:rFonts w:ascii="Calibri" w:hAnsi="Calibri"/>
                <w:b w:val="0"/>
                <w:color w:val="334155"/>
                <w:sz w:val="19"/>
              </w:rPr>
              <w:t>AP_CLERK</w:t>
            </w:r>
          </w:p>
        </w:tc>
        <w:tc>
          <w:tcPr>
            <w:tcW w:type="dxa" w:w="2484"/>
            <w:vAlign w:val="center"/>
          </w:tcPr>
          <w:p>
            <w:r/>
            <w:r>
              <w:rPr>
                <w:rFonts w:ascii="Calibri" w:hAnsi="Calibri"/>
                <w:b w:val="0"/>
                <w:color w:val="334155"/>
                <w:sz w:val="19"/>
              </w:rPr>
              <w:t>Vendor, PO, invoice account, old sheet/reference validation</w:t>
            </w:r>
          </w:p>
        </w:tc>
      </w:tr>
      <w:tr>
        <w:tc>
          <w:tcPr>
            <w:tcW w:type="dxa" w:w="2484"/>
            <w:vAlign w:val="center"/>
          </w:tcPr>
          <w:p>
            <w:r/>
            <w:r>
              <w:rPr>
                <w:rFonts w:ascii="Calibri" w:hAnsi="Calibri"/>
                <w:b w:val="0"/>
                <w:color w:val="334155"/>
                <w:sz w:val="19"/>
              </w:rPr>
              <w:t>6</w:t>
            </w:r>
          </w:p>
        </w:tc>
        <w:tc>
          <w:tcPr>
            <w:tcW w:type="dxa" w:w="2484"/>
            <w:vAlign w:val="center"/>
          </w:tcPr>
          <w:p>
            <w:r/>
            <w:r>
              <w:rPr>
                <w:rFonts w:ascii="Calibri" w:hAnsi="Calibri"/>
                <w:b w:val="0"/>
                <w:color w:val="334155"/>
                <w:sz w:val="19"/>
              </w:rPr>
              <w:t>WHT and voucher</w:t>
            </w:r>
          </w:p>
        </w:tc>
        <w:tc>
          <w:tcPr>
            <w:tcW w:type="dxa" w:w="2484"/>
            <w:vAlign w:val="center"/>
          </w:tcPr>
          <w:p>
            <w:r/>
            <w:r>
              <w:rPr>
                <w:rFonts w:ascii="Calibri" w:hAnsi="Calibri"/>
                <w:b w:val="0"/>
                <w:color w:val="334155"/>
                <w:sz w:val="19"/>
              </w:rPr>
              <w:t>AP_CLERK</w:t>
            </w:r>
          </w:p>
        </w:tc>
        <w:tc>
          <w:tcPr>
            <w:tcW w:type="dxa" w:w="2484"/>
            <w:vAlign w:val="center"/>
          </w:tcPr>
          <w:p>
            <w:r/>
            <w:r>
              <w:rPr>
                <w:rFonts w:ascii="Calibri" w:hAnsi="Calibri"/>
                <w:b w:val="0"/>
                <w:color w:val="334155"/>
                <w:sz w:val="19"/>
              </w:rPr>
              <w:t>Filer/non-filer rate, WHT amount, net payable, voucher</w:t>
            </w:r>
          </w:p>
        </w:tc>
      </w:tr>
      <w:tr>
        <w:tc>
          <w:tcPr>
            <w:tcW w:type="dxa" w:w="2484"/>
            <w:vAlign w:val="center"/>
          </w:tcPr>
          <w:p>
            <w:r/>
            <w:r>
              <w:rPr>
                <w:rFonts w:ascii="Calibri" w:hAnsi="Calibri"/>
                <w:b w:val="0"/>
                <w:color w:val="334155"/>
                <w:sz w:val="19"/>
              </w:rPr>
              <w:t>7</w:t>
            </w:r>
          </w:p>
        </w:tc>
        <w:tc>
          <w:tcPr>
            <w:tcW w:type="dxa" w:w="2484"/>
            <w:vAlign w:val="center"/>
          </w:tcPr>
          <w:p>
            <w:r/>
            <w:r>
              <w:rPr>
                <w:rFonts w:ascii="Calibri" w:hAnsi="Calibri"/>
                <w:b w:val="0"/>
                <w:color w:val="334155"/>
                <w:sz w:val="19"/>
              </w:rPr>
              <w:t>Xero bill</w:t>
            </w:r>
          </w:p>
        </w:tc>
        <w:tc>
          <w:tcPr>
            <w:tcW w:type="dxa" w:w="2484"/>
            <w:vAlign w:val="center"/>
          </w:tcPr>
          <w:p>
            <w:r/>
            <w:r>
              <w:rPr>
                <w:rFonts w:ascii="Calibri" w:hAnsi="Calibri"/>
                <w:b w:val="0"/>
                <w:color w:val="334155"/>
                <w:sz w:val="19"/>
              </w:rPr>
              <w:t>AP_CLERK / COMPANY_ADMIN</w:t>
            </w:r>
          </w:p>
        </w:tc>
        <w:tc>
          <w:tcPr>
            <w:tcW w:type="dxa" w:w="2484"/>
            <w:vAlign w:val="center"/>
          </w:tcPr>
          <w:p>
            <w:r/>
            <w:r>
              <w:rPr>
                <w:rFonts w:ascii="Calibri" w:hAnsi="Calibri"/>
                <w:b w:val="0"/>
                <w:color w:val="334155"/>
                <w:sz w:val="19"/>
              </w:rPr>
              <w:t>AP bill sync and Xero bill identifiers</w:t>
            </w:r>
          </w:p>
        </w:tc>
      </w:tr>
      <w:tr>
        <w:tc>
          <w:tcPr>
            <w:tcW w:type="dxa" w:w="2484"/>
            <w:vAlign w:val="center"/>
          </w:tcPr>
          <w:p>
            <w:r/>
            <w:r>
              <w:rPr>
                <w:rFonts w:ascii="Calibri" w:hAnsi="Calibri"/>
                <w:b w:val="0"/>
                <w:color w:val="334155"/>
                <w:sz w:val="19"/>
              </w:rPr>
              <w:t>8</w:t>
            </w:r>
          </w:p>
        </w:tc>
        <w:tc>
          <w:tcPr>
            <w:tcW w:type="dxa" w:w="2484"/>
            <w:vAlign w:val="center"/>
          </w:tcPr>
          <w:p>
            <w:r/>
            <w:r>
              <w:rPr>
                <w:rFonts w:ascii="Calibri" w:hAnsi="Calibri"/>
                <w:b w:val="0"/>
                <w:color w:val="334155"/>
                <w:sz w:val="19"/>
              </w:rPr>
              <w:t>Payment preparation</w:t>
            </w:r>
          </w:p>
        </w:tc>
        <w:tc>
          <w:tcPr>
            <w:tcW w:type="dxa" w:w="2484"/>
            <w:vAlign w:val="center"/>
          </w:tcPr>
          <w:p>
            <w:r/>
            <w:r>
              <w:rPr>
                <w:rFonts w:ascii="Calibri" w:hAnsi="Calibri"/>
                <w:b w:val="0"/>
                <w:color w:val="334155"/>
                <w:sz w:val="19"/>
              </w:rPr>
              <w:t>AP_CLERK</w:t>
            </w:r>
          </w:p>
        </w:tc>
        <w:tc>
          <w:tcPr>
            <w:tcW w:type="dxa" w:w="2484"/>
            <w:vAlign w:val="center"/>
          </w:tcPr>
          <w:p>
            <w:r/>
            <w:r>
              <w:rPr>
                <w:rFonts w:ascii="Calibri" w:hAnsi="Calibri"/>
                <w:b w:val="0"/>
                <w:color w:val="334155"/>
                <w:sz w:val="19"/>
              </w:rPr>
              <w:t>Payment file/batch and bank portal reference</w:t>
            </w:r>
          </w:p>
        </w:tc>
      </w:tr>
      <w:tr>
        <w:tc>
          <w:tcPr>
            <w:tcW w:type="dxa" w:w="2484"/>
            <w:vAlign w:val="center"/>
          </w:tcPr>
          <w:p>
            <w:r/>
            <w:r>
              <w:rPr>
                <w:rFonts w:ascii="Calibri" w:hAnsi="Calibri"/>
                <w:b w:val="0"/>
                <w:color w:val="334155"/>
                <w:sz w:val="19"/>
              </w:rPr>
              <w:t>9</w:t>
            </w:r>
          </w:p>
        </w:tc>
        <w:tc>
          <w:tcPr>
            <w:tcW w:type="dxa" w:w="2484"/>
            <w:vAlign w:val="center"/>
          </w:tcPr>
          <w:p>
            <w:r/>
            <w:r>
              <w:rPr>
                <w:rFonts w:ascii="Calibri" w:hAnsi="Calibri"/>
                <w:b w:val="0"/>
                <w:color w:val="334155"/>
                <w:sz w:val="19"/>
              </w:rPr>
              <w:t>CFO sign</w:t>
            </w:r>
          </w:p>
        </w:tc>
        <w:tc>
          <w:tcPr>
            <w:tcW w:type="dxa" w:w="2484"/>
            <w:vAlign w:val="center"/>
          </w:tcPr>
          <w:p>
            <w:r/>
            <w:r>
              <w:rPr>
                <w:rFonts w:ascii="Calibri" w:hAnsi="Calibri"/>
                <w:b w:val="0"/>
                <w:color w:val="334155"/>
                <w:sz w:val="19"/>
              </w:rPr>
              <w:t>CFO</w:t>
            </w:r>
          </w:p>
        </w:tc>
        <w:tc>
          <w:tcPr>
            <w:tcW w:type="dxa" w:w="2484"/>
            <w:vAlign w:val="center"/>
          </w:tcPr>
          <w:p>
            <w:r/>
            <w:r>
              <w:rPr>
                <w:rFonts w:ascii="Calibri" w:hAnsi="Calibri"/>
                <w:b w:val="0"/>
                <w:color w:val="334155"/>
                <w:sz w:val="19"/>
              </w:rPr>
              <w:t>CFO authorizes bank portal payment</w:t>
            </w:r>
          </w:p>
        </w:tc>
      </w:tr>
      <w:tr>
        <w:tc>
          <w:tcPr>
            <w:tcW w:type="dxa" w:w="2484"/>
            <w:vAlign w:val="center"/>
          </w:tcPr>
          <w:p>
            <w:r/>
            <w:r>
              <w:rPr>
                <w:rFonts w:ascii="Calibri" w:hAnsi="Calibri"/>
                <w:b w:val="0"/>
                <w:color w:val="334155"/>
                <w:sz w:val="19"/>
              </w:rPr>
              <w:t>10</w:t>
            </w:r>
          </w:p>
        </w:tc>
        <w:tc>
          <w:tcPr>
            <w:tcW w:type="dxa" w:w="2484"/>
            <w:vAlign w:val="center"/>
          </w:tcPr>
          <w:p>
            <w:r/>
            <w:r>
              <w:rPr>
                <w:rFonts w:ascii="Calibri" w:hAnsi="Calibri"/>
                <w:b w:val="0"/>
                <w:color w:val="334155"/>
                <w:sz w:val="19"/>
              </w:rPr>
              <w:t>Bank execution</w:t>
            </w:r>
          </w:p>
        </w:tc>
        <w:tc>
          <w:tcPr>
            <w:tcW w:type="dxa" w:w="2484"/>
            <w:vAlign w:val="center"/>
          </w:tcPr>
          <w:p>
            <w:r/>
            <w:r>
              <w:rPr>
                <w:rFonts w:ascii="Calibri" w:hAnsi="Calibri"/>
                <w:b w:val="0"/>
                <w:color w:val="334155"/>
                <w:sz w:val="19"/>
              </w:rPr>
              <w:t>AP / Payment Gateway</w:t>
            </w:r>
          </w:p>
        </w:tc>
        <w:tc>
          <w:tcPr>
            <w:tcW w:type="dxa" w:w="2484"/>
            <w:vAlign w:val="center"/>
          </w:tcPr>
          <w:p>
            <w:r/>
            <w:r>
              <w:rPr>
                <w:rFonts w:ascii="Calibri" w:hAnsi="Calibri"/>
                <w:b w:val="0"/>
                <w:color w:val="334155"/>
                <w:sz w:val="19"/>
              </w:rPr>
              <w:t>Executed status or payment gateway confirmation</w:t>
            </w:r>
          </w:p>
        </w:tc>
      </w:tr>
      <w:tr>
        <w:tc>
          <w:tcPr>
            <w:tcW w:type="dxa" w:w="2484"/>
            <w:vAlign w:val="center"/>
          </w:tcPr>
          <w:p>
            <w:r/>
            <w:r>
              <w:rPr>
                <w:rFonts w:ascii="Calibri" w:hAnsi="Calibri"/>
                <w:b w:val="0"/>
                <w:color w:val="334155"/>
                <w:sz w:val="19"/>
              </w:rPr>
              <w:t>11</w:t>
            </w:r>
          </w:p>
        </w:tc>
        <w:tc>
          <w:tcPr>
            <w:tcW w:type="dxa" w:w="2484"/>
            <w:vAlign w:val="center"/>
          </w:tcPr>
          <w:p>
            <w:r/>
            <w:r>
              <w:rPr>
                <w:rFonts w:ascii="Calibri" w:hAnsi="Calibri"/>
                <w:b w:val="0"/>
                <w:color w:val="334155"/>
                <w:sz w:val="19"/>
              </w:rPr>
              <w:t>Xero paid and close</w:t>
            </w:r>
          </w:p>
        </w:tc>
        <w:tc>
          <w:tcPr>
            <w:tcW w:type="dxa" w:w="2484"/>
            <w:vAlign w:val="center"/>
          </w:tcPr>
          <w:p>
            <w:r/>
            <w:r>
              <w:rPr>
                <w:rFonts w:ascii="Calibri" w:hAnsi="Calibri"/>
                <w:b w:val="0"/>
                <w:color w:val="334155"/>
                <w:sz w:val="19"/>
              </w:rPr>
              <w:t>AP / System</w:t>
            </w:r>
          </w:p>
        </w:tc>
        <w:tc>
          <w:tcPr>
            <w:tcW w:type="dxa" w:w="2484"/>
            <w:vAlign w:val="center"/>
          </w:tcPr>
          <w:p>
            <w:r/>
            <w:r>
              <w:rPr>
                <w:rFonts w:ascii="Calibri" w:hAnsi="Calibri"/>
                <w:b w:val="0"/>
                <w:color w:val="334155"/>
                <w:sz w:val="19"/>
              </w:rPr>
              <w:t>Mark paid, notify requester, lock ticket</w:t>
            </w:r>
          </w:p>
        </w:tc>
      </w:tr>
    </w:tbl>
    <w:p/>
    <w:p>
      <w:pPr>
        <w:pStyle w:val="Heading1"/>
      </w:pPr>
      <w:r>
        <w:t>Integration Notes</w:t>
      </w:r>
    </w:p>
    <w:p>
      <w:pPr>
        <w:pStyle w:val="ListBullet"/>
      </w:pPr>
      <w:r>
        <w:t>Xero: real OAuth and Accounting API code exists for bill creation and payment marking when tenant credentials are configured.</w:t>
      </w:r>
    </w:p>
    <w:p>
      <w:pPr>
        <w:pStyle w:val="ListBullet"/>
      </w:pPr>
      <w:r>
        <w:t>Bank/payment gateway: current implementation supports Meezan-style CSV export/import concepts and payment gateway execution flow. Production should use bank API/file response integration.</w:t>
      </w:r>
    </w:p>
    <w:p>
      <w:pPr>
        <w:pStyle w:val="ListBullet"/>
      </w:pPr>
      <w:r>
        <w:t>Legacy data: schema and operations include old sheet references and Google CSV import/migration support.</w:t>
      </w:r>
    </w:p>
    <w:p>
      <w:pPr>
        <w:pStyle w:val="ListBullet"/>
      </w:pPr>
      <w:r>
        <w:t>Trello: ticket fields store Trello card IDs/URLs for continuity; full Trello API sync is future scope.</w:t>
      </w:r>
    </w:p>
    <w:p>
      <w:pPr>
        <w:pStyle w:val="Heading1"/>
      </w:pPr>
      <w:r>
        <w:t>Traceability</w:t>
      </w:r>
    </w:p>
    <w:tbl>
      <w:tblPr>
        <w:tblStyle w:val="TableGrid"/>
        <w:tblW w:type="auto" w:w="0"/>
        <w:tblLook w:firstColumn="1" w:firstRow="1" w:lastColumn="0" w:lastRow="0" w:noHBand="0" w:noVBand="1" w:val="04A0"/>
      </w:tblPr>
      <w:tblGrid>
        <w:gridCol w:w="4968"/>
        <w:gridCol w:w="4968"/>
      </w:tblGrid>
      <w:tr>
        <w:tc>
          <w:tcPr>
            <w:tcW w:type="dxa" w:w="4968"/>
            <w:vAlign w:val="center"/>
            <w:shd w:fill="F2F4F7"/>
          </w:tcPr>
          <w:p>
            <w:r/>
            <w:r>
              <w:rPr>
                <w:rFonts w:ascii="Calibri" w:hAnsi="Calibri"/>
                <w:b/>
                <w:color w:val="0B2545"/>
                <w:sz w:val="19"/>
              </w:rPr>
              <w:t>Area</w:t>
            </w:r>
          </w:p>
        </w:tc>
        <w:tc>
          <w:tcPr>
            <w:tcW w:type="dxa" w:w="4968"/>
            <w:vAlign w:val="center"/>
            <w:shd w:fill="F2F4F7"/>
          </w:tcPr>
          <w:p>
            <w:r/>
            <w:r>
              <w:rPr>
                <w:rFonts w:ascii="Calibri" w:hAnsi="Calibri"/>
                <w:b/>
                <w:color w:val="0B2545"/>
                <w:sz w:val="19"/>
              </w:rPr>
              <w:t>Current Implementation</w:t>
            </w:r>
          </w:p>
        </w:tc>
      </w:tr>
      <w:tr>
        <w:tc>
          <w:tcPr>
            <w:tcW w:type="dxa" w:w="4968"/>
            <w:vAlign w:val="center"/>
          </w:tcPr>
          <w:p>
            <w:r/>
            <w:r>
              <w:rPr>
                <w:rFonts w:ascii="Calibri" w:hAnsi="Calibri"/>
                <w:b w:val="0"/>
                <w:color w:val="334155"/>
                <w:sz w:val="19"/>
              </w:rPr>
              <w:t>Workflow status engine</w:t>
            </w:r>
          </w:p>
        </w:tc>
        <w:tc>
          <w:tcPr>
            <w:tcW w:type="dxa" w:w="4968"/>
            <w:vAlign w:val="center"/>
          </w:tcPr>
          <w:p>
            <w:r/>
            <w:r>
              <w:rPr>
                <w:rFonts w:ascii="Calibri" w:hAnsi="Calibri"/>
                <w:b w:val="0"/>
                <w:color w:val="334155"/>
                <w:sz w:val="19"/>
              </w:rPr>
              <w:t>api/src/tickets/tickets.service.ts</w:t>
            </w:r>
          </w:p>
        </w:tc>
      </w:tr>
      <w:tr>
        <w:tc>
          <w:tcPr>
            <w:tcW w:type="dxa" w:w="4968"/>
            <w:vAlign w:val="center"/>
          </w:tcPr>
          <w:p>
            <w:r/>
            <w:r>
              <w:rPr>
                <w:rFonts w:ascii="Calibri" w:hAnsi="Calibri"/>
                <w:b w:val="0"/>
                <w:color w:val="334155"/>
                <w:sz w:val="19"/>
              </w:rPr>
              <w:t>Approval logic</w:t>
            </w:r>
          </w:p>
        </w:tc>
        <w:tc>
          <w:tcPr>
            <w:tcW w:type="dxa" w:w="4968"/>
            <w:vAlign w:val="center"/>
          </w:tcPr>
          <w:p>
            <w:r/>
            <w:r>
              <w:rPr>
                <w:rFonts w:ascii="Calibri" w:hAnsi="Calibri"/>
                <w:b w:val="0"/>
                <w:color w:val="334155"/>
                <w:sz w:val="19"/>
              </w:rPr>
              <w:t>api/src/approvals and api/src/invoices</w:t>
            </w:r>
          </w:p>
        </w:tc>
      </w:tr>
      <w:tr>
        <w:tc>
          <w:tcPr>
            <w:tcW w:type="dxa" w:w="4968"/>
            <w:vAlign w:val="center"/>
          </w:tcPr>
          <w:p>
            <w:r/>
            <w:r>
              <w:rPr>
                <w:rFonts w:ascii="Calibri" w:hAnsi="Calibri"/>
                <w:b w:val="0"/>
                <w:color w:val="334155"/>
                <w:sz w:val="19"/>
              </w:rPr>
              <w:t>Xero integration</w:t>
            </w:r>
          </w:p>
        </w:tc>
        <w:tc>
          <w:tcPr>
            <w:tcW w:type="dxa" w:w="4968"/>
            <w:vAlign w:val="center"/>
          </w:tcPr>
          <w:p>
            <w:r/>
            <w:r>
              <w:rPr>
                <w:rFonts w:ascii="Calibri" w:hAnsi="Calibri"/>
                <w:b w:val="0"/>
                <w:color w:val="334155"/>
                <w:sz w:val="19"/>
              </w:rPr>
              <w:t>api/src/full-scope/full-scope.service.ts</w:t>
            </w:r>
          </w:p>
        </w:tc>
      </w:tr>
      <w:tr>
        <w:tc>
          <w:tcPr>
            <w:tcW w:type="dxa" w:w="4968"/>
            <w:vAlign w:val="center"/>
          </w:tcPr>
          <w:p>
            <w:r/>
            <w:r>
              <w:rPr>
                <w:rFonts w:ascii="Calibri" w:hAnsi="Calibri"/>
                <w:b w:val="0"/>
                <w:color w:val="334155"/>
                <w:sz w:val="19"/>
              </w:rPr>
              <w:t>Payment gateway flow</w:t>
            </w:r>
          </w:p>
        </w:tc>
        <w:tc>
          <w:tcPr>
            <w:tcW w:type="dxa" w:w="4968"/>
            <w:vAlign w:val="center"/>
          </w:tcPr>
          <w:p>
            <w:r/>
            <w:r>
              <w:rPr>
                <w:rFonts w:ascii="Calibri" w:hAnsi="Calibri"/>
                <w:b w:val="0"/>
                <w:color w:val="334155"/>
                <w:sz w:val="19"/>
              </w:rPr>
              <w:t>api/src/tickets/tickets.service.ts and dev-mock-api.cjs</w:t>
            </w:r>
          </w:p>
        </w:tc>
      </w:tr>
      <w:tr>
        <w:tc>
          <w:tcPr>
            <w:tcW w:type="dxa" w:w="4968"/>
            <w:vAlign w:val="center"/>
          </w:tcPr>
          <w:p>
            <w:r/>
            <w:r>
              <w:rPr>
                <w:rFonts w:ascii="Calibri" w:hAnsi="Calibri"/>
                <w:b w:val="0"/>
                <w:color w:val="334155"/>
                <w:sz w:val="19"/>
              </w:rPr>
              <w:t>Role UI</w:t>
            </w:r>
          </w:p>
        </w:tc>
        <w:tc>
          <w:tcPr>
            <w:tcW w:type="dxa" w:w="4968"/>
            <w:vAlign w:val="center"/>
          </w:tcPr>
          <w:p>
            <w:r/>
            <w:r>
              <w:rPr>
                <w:rFonts w:ascii="Calibri" w:hAnsi="Calibri"/>
                <w:b w:val="0"/>
                <w:color w:val="334155"/>
                <w:sz w:val="19"/>
              </w:rPr>
              <w:t>web/src/pages and web/src/components/Layout.tsx</w:t>
            </w:r>
          </w:p>
        </w:tc>
      </w:tr>
    </w:tbl>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