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scend-lettings-brand-guidelines"/>
    <w:p>
      <w:pPr>
        <w:pStyle w:val="Heading1"/>
      </w:pPr>
      <w:r>
        <w:t xml:space="preserve">Ascend Lettings Brand Guidelines</w:t>
      </w:r>
    </w:p>
    <w:p>
      <w:pPr>
        <w:pStyle w:val="FirstParagraph"/>
      </w:pPr>
      <w:r>
        <w:rPr>
          <w:iCs/>
          <w:i/>
        </w:rPr>
        <w:t xml:space="preserve">Version 1.0 — 2026</w:t>
      </w:r>
    </w:p>
    <w:p>
      <w:pPr>
        <w:pStyle w:val="BodyText"/>
      </w:pPr>
      <w:r>
        <w:t xml:space="preserve">These guidelines set out how to use the Ascend Lettings brand consistently across every touchpoint — website, social media, print and correspondence. Consistency builds trust, and trust is central to what Ascend Lettings offers.</w:t>
      </w:r>
    </w:p>
    <w:p>
      <w:r>
        <w:pict>
          <v:rect style="width:0;height:1.5pt" o:hralign="center" o:hrstd="t" o:hr="t"/>
        </w:pict>
      </w:r>
    </w:p>
    <w:bookmarkStart w:id="20" w:name="brand-overview"/>
    <w:p>
      <w:pPr>
        <w:pStyle w:val="Heading2"/>
      </w:pPr>
      <w:r>
        <w:t xml:space="preserve">1. Brand Overview</w:t>
      </w:r>
    </w:p>
    <w:p>
      <w:pPr>
        <w:pStyle w:val="FirstParagraph"/>
      </w:pPr>
      <w:r>
        <w:rPr>
          <w:bCs/>
          <w:b/>
        </w:rPr>
        <w:t xml:space="preserve">Ascend Lettings</w:t>
      </w:r>
      <w:r>
        <w:t xml:space="preserve"> </w:t>
      </w:r>
      <w:r>
        <w:t xml:space="preserve">is a UK letting agency that helps landlords let their properties and helps tenants find a home, with a focus on clarity, professionalism and doing things properly.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we are:</w:t>
      </w:r>
      <w:r>
        <w:t xml:space="preserve"> </w:t>
      </w:r>
      <w:r>
        <w:t xml:space="preserve">A professional, service-led letting agency. We focus on letting — finding and referencing quality tenants and getting tenancies set up correctly. We are not a property management company and do not imply we provide property management services.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 personality:</w:t>
      </w:r>
      <w:r>
        <w:t xml:space="preserve"> </w:t>
      </w:r>
      <w:r>
        <w:t xml:space="preserve">Premium but approachable, trustworthy, organised, calm, honest.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Mission:</w:t>
      </w:r>
      <w:r>
        <w:t xml:space="preserve"> </w:t>
      </w:r>
      <w:r>
        <w:t xml:space="preserve">To make professional property letting simple, transparent and stress-free for landlords and tenants alike.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Ascend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idea:</w:t>
      </w:r>
      <w:r>
        <w:t xml:space="preserve"> </w:t>
      </w:r>
      <w:r>
        <w:t xml:space="preserve">The name and the ascending mark represent rising standards, upward progress and moving up — landlords growing their portfolios, tenants moving into a better home.</w:t>
      </w:r>
    </w:p>
    <w:p>
      <w:r>
        <w:pict>
          <v:rect style="width:0;height:1.5pt" o:hralign="center" o:hrstd="t" o:hr="t"/>
        </w:pict>
      </w:r>
    </w:p>
    <w:bookmarkEnd w:id="20"/>
    <w:bookmarkStart w:id="21" w:name="brand-voice"/>
    <w:p>
      <w:pPr>
        <w:pStyle w:val="Heading2"/>
      </w:pPr>
      <w:r>
        <w:t xml:space="preserve">2. Brand Voice</w:t>
      </w:r>
    </w:p>
    <w:p>
      <w:pPr>
        <w:pStyle w:val="FirstParagraph"/>
      </w:pPr>
      <w:r>
        <w:t xml:space="preserve">Our voice is</w:t>
      </w:r>
      <w:r>
        <w:t xml:space="preserve"> </w:t>
      </w:r>
      <w:r>
        <w:rPr>
          <w:bCs/>
          <w:b/>
        </w:rPr>
        <w:t xml:space="preserve">professional, clear, confident, friendly, transparent and human.</w:t>
      </w:r>
    </w:p>
    <w:p>
      <w:pPr>
        <w:numPr>
          <w:ilvl w:val="0"/>
          <w:numId w:val="1002"/>
        </w:numPr>
        <w:pStyle w:val="Compact"/>
      </w:pPr>
      <w:r>
        <w:t xml:space="preserve">Write in</w:t>
      </w:r>
      <w:r>
        <w:t xml:space="preserve"> </w:t>
      </w:r>
      <w:r>
        <w:rPr>
          <w:bCs/>
          <w:b/>
        </w:rPr>
        <w:t xml:space="preserve">British English</w:t>
      </w:r>
      <w:r>
        <w:t xml:space="preserve"> </w:t>
      </w:r>
      <w:r>
        <w:t xml:space="preserve">(e.g. </w:t>
      </w:r>
      <w:r>
        <w:rPr>
          <w:iCs/>
          <w:i/>
        </w:rPr>
        <w:t xml:space="preserve">organise</w:t>
      </w:r>
      <w:r>
        <w:t xml:space="preserve">,</w:t>
      </w:r>
      <w:r>
        <w:t xml:space="preserve"> </w:t>
      </w:r>
      <w:r>
        <w:rPr>
          <w:iCs/>
          <w:i/>
        </w:rPr>
        <w:t xml:space="preserve">licence</w:t>
      </w:r>
      <w:r>
        <w:t xml:space="preserve">,</w:t>
      </w:r>
      <w:r>
        <w:t xml:space="preserve"> </w:t>
      </w:r>
      <w:r>
        <w:rPr>
          <w:iCs/>
          <w:i/>
        </w:rPr>
        <w:t xml:space="preserve">tenancy</w:t>
      </w:r>
      <w:r>
        <w:t xml:space="preserve">,</w:t>
      </w:r>
      <w:r>
        <w:t xml:space="preserve"> </w:t>
      </w:r>
      <w:r>
        <w:rPr>
          <w:iCs/>
          <w:i/>
        </w:rPr>
        <w:t xml:space="preserve">enquiry</w:t>
      </w:r>
      <w:r>
        <w:t xml:space="preserve">,</w:t>
      </w:r>
      <w:r>
        <w:t xml:space="preserve"> </w:t>
      </w:r>
      <w:r>
        <w:rPr>
          <w:iCs/>
          <w:i/>
        </w:rPr>
        <w:t xml:space="preserve">neighbourhood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Be clear and direct. Short sentences. Plain words.</w:t>
      </w:r>
    </w:p>
    <w:p>
      <w:pPr>
        <w:numPr>
          <w:ilvl w:val="0"/>
          <w:numId w:val="1002"/>
        </w:numPr>
        <w:pStyle w:val="Compact"/>
      </w:pPr>
      <w:r>
        <w:t xml:space="preserve">Be warm and human — we are talking to real people about their home or their investment.</w:t>
      </w:r>
    </w:p>
    <w:p>
      <w:pPr>
        <w:numPr>
          <w:ilvl w:val="0"/>
          <w:numId w:val="1002"/>
        </w:numPr>
        <w:pStyle w:val="Compact"/>
      </w:pPr>
      <w:r>
        <w:t xml:space="preserve">Be confident and reassuring without over-promising.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Avoid corporate jargon</w:t>
      </w:r>
      <w:r>
        <w:t xml:space="preserve">, buzzwords and filler (</w:t>
      </w:r>
      <w:r>
        <w:t xml:space="preserve">“</w:t>
      </w:r>
      <w:r>
        <w:t xml:space="preserve">synergy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best-in-class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leverage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solutions-driven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Never invent statistics or make claims we cannot back up.</w:t>
      </w:r>
    </w:p>
    <w:p>
      <w:pPr>
        <w:numPr>
          <w:ilvl w:val="0"/>
          <w:numId w:val="1002"/>
        </w:numPr>
        <w:pStyle w:val="Compact"/>
      </w:pPr>
      <w:r>
        <w:t xml:space="preserve">Never imply we offer property management services.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We’ll find and reference quality tenants and get your tenancy set up correctly.</w:t>
      </w:r>
      <w:r>
        <w:t xml:space="preserve">”</w:t>
      </w:r>
      <w:r>
        <w:t xml:space="preserve"> </w:t>
      </w:r>
      <w:r>
        <w:rPr>
          <w:bCs/>
          <w:b/>
        </w:rPr>
        <w:t xml:space="preserve">Not:</w:t>
      </w:r>
      <w:r>
        <w:t xml:space="preserve"> </w:t>
      </w:r>
      <w:r>
        <w:t xml:space="preserve">“</w:t>
      </w:r>
      <w:r>
        <w:t xml:space="preserve">Our best-in-class end-to-end solution leverages synergies to maximise ROI.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logo"/>
    <w:p>
      <w:pPr>
        <w:pStyle w:val="Heading2"/>
      </w:pPr>
      <w:r>
        <w:t xml:space="preserve">3. Logo</w:t>
      </w:r>
    </w:p>
    <w:p>
      <w:pPr>
        <w:pStyle w:val="FirstParagraph"/>
      </w:pPr>
      <w:r>
        <w:t xml:space="preserve">The primary logo pairs a clean wordmark (</w:t>
      </w:r>
      <w:r>
        <w:t xml:space="preserve">“</w:t>
      </w:r>
      <w:r>
        <w:t xml:space="preserve">Ascend</w:t>
      </w:r>
      <w:r>
        <w:t xml:space="preserve">”</w:t>
      </w:r>
      <w:r>
        <w:t xml:space="preserve"> </w:t>
      </w:r>
      <w:r>
        <w:t xml:space="preserve">in Playfair Display,</w:t>
      </w:r>
      <w:r>
        <w:t xml:space="preserve"> </w:t>
      </w:r>
      <w:r>
        <w:t xml:space="preserve">“</w:t>
      </w:r>
      <w:r>
        <w:t xml:space="preserve">Lettings</w:t>
      </w:r>
      <w:r>
        <w:t xml:space="preserve">”</w:t>
      </w:r>
      <w:r>
        <w:t xml:space="preserve"> </w:t>
      </w:r>
      <w:r>
        <w:t xml:space="preserve">in spaced Inter) with an</w:t>
      </w:r>
      <w:r>
        <w:t xml:space="preserve"> </w:t>
      </w:r>
      <w:r>
        <w:rPr>
          <w:bCs/>
          <w:b/>
        </w:rPr>
        <w:t xml:space="preserve">abstract ascending mark</w:t>
      </w:r>
      <w:r>
        <w:t xml:space="preserve"> </w:t>
      </w:r>
      <w:r>
        <w:t xml:space="preserve">— three upward-stepping gold forms that suggest rising bars, growth and upward motion. It is deliberately not a literal house outline.</w:t>
      </w:r>
    </w:p>
    <w:p>
      <w:pPr>
        <w:pStyle w:val="BodyText"/>
      </w:pPr>
      <w:r>
        <w:rPr>
          <w:bCs/>
          <w:b/>
        </w:rPr>
        <w:t xml:space="preserve">Meaning:</w:t>
      </w:r>
      <w:r>
        <w:t xml:space="preserve"> </w:t>
      </w:r>
      <w:r>
        <w:t xml:space="preserve">The three ascending elements represent progress and moving up — the core</w:t>
      </w:r>
      <w:r>
        <w:t xml:space="preserve"> </w:t>
      </w:r>
      <w:r>
        <w:t xml:space="preserve">“</w:t>
      </w:r>
      <w:r>
        <w:t xml:space="preserve">ascend</w:t>
      </w:r>
      <w:r>
        <w:t xml:space="preserve">”</w:t>
      </w:r>
      <w:r>
        <w:t xml:space="preserve"> </w:t>
      </w:r>
      <w:r>
        <w:t xml:space="preserve">concept.</w:t>
      </w:r>
    </w:p>
    <w:p>
      <w:r>
        <w:pict>
          <v:rect style="width:0;height:1.5pt" o:hralign="center" o:hrstd="t" o:hr="t"/>
        </w:pict>
      </w:r>
    </w:p>
    <w:bookmarkEnd w:id="22"/>
    <w:bookmarkStart w:id="23" w:name="logo-variations"/>
    <w:p>
      <w:pPr>
        <w:pStyle w:val="Heading2"/>
      </w:pPr>
      <w:r>
        <w:t xml:space="preserve">4. Logo Variations</w:t>
      </w:r>
    </w:p>
    <w:p>
      <w:pPr>
        <w:pStyle w:val="FirstParagraph"/>
      </w:pPr>
      <w:r>
        <w:t xml:space="preserve">All variants live in</w:t>
      </w:r>
      <w:r>
        <w:t xml:space="preserve"> </w:t>
      </w:r>
      <w:r>
        <w:rPr>
          <w:rStyle w:val="VerbatimChar"/>
        </w:rPr>
        <w:t xml:space="preserve">brand/logo/</w:t>
      </w:r>
      <w:r>
        <w:t xml:space="preserve">. Use the right one for the context: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ascend-lettings-logo-primary.svg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logo — navy wordmark, gold mark. Light backgrounds.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ascend-lettings-logo-horizontal.svg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Wide/constrained spaces — headers, email, letterhead.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ascend-lettings-logo-stacked.svg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Square/centred spaces — social profiles, adverts.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 / 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ascend-lettings-icon.svg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icons, favicons, avatars, watermark — where the wordmark won’t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ascend-lettings-wordmark.svg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Text-only lockup where the mark is redundant.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ascend-lettings-logo-black.svg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Single-colour black — faxes, stamps, mono 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/ reversed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ascend-lettings-logo-white.svg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navy, charcoal, photography or dark backgrounds.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SVGs are transparent-background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over approved colours/imagery.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ogo-clear-space-minimum-size"/>
    <w:p>
      <w:pPr>
        <w:pStyle w:val="Heading2"/>
      </w:pPr>
      <w:r>
        <w:t xml:space="preserve">5. Logo Clear Space &amp; Minimum Size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Clear space:</w:t>
      </w:r>
      <w:r>
        <w:t xml:space="preserve"> </w:t>
      </w:r>
      <w:r>
        <w:t xml:space="preserve">Keep clear space around the logo equal to the</w:t>
      </w:r>
      <w:r>
        <w:t xml:space="preserve"> </w:t>
      </w:r>
      <w:r>
        <w:rPr>
          <w:bCs/>
          <w:b/>
        </w:rPr>
        <w:t xml:space="preserve">height of the capital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Ascend</w:t>
      </w:r>
      <w:r>
        <w:rPr>
          <w:bCs/>
          <w:b/>
        </w:rPr>
        <w:t xml:space="preserve">”</w:t>
      </w:r>
      <w:r>
        <w:t xml:space="preserve"> </w:t>
      </w:r>
      <w:r>
        <w:t xml:space="preserve">on all sides. Keep other elements, text and edges outside this zone.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Minimum digital size:</w:t>
      </w:r>
      <w:r>
        <w:t xml:space="preserve"> </w:t>
      </w:r>
      <w:r>
        <w:rPr>
          <w:bCs/>
          <w:b/>
        </w:rPr>
        <w:t xml:space="preserve">120px wide</w:t>
      </w:r>
      <w:r>
        <w:t xml:space="preserve"> </w:t>
      </w:r>
      <w:r>
        <w:t xml:space="preserve">for the full logo.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Minimum print size:</w:t>
      </w:r>
      <w:r>
        <w:t xml:space="preserve"> </w:t>
      </w:r>
      <w:r>
        <w:rPr>
          <w:bCs/>
          <w:b/>
        </w:rPr>
        <w:t xml:space="preserve">30mm wide</w:t>
      </w:r>
      <w:r>
        <w:t xml:space="preserve"> </w:t>
      </w:r>
      <w:r>
        <w:t xml:space="preserve">for the full logo.</w:t>
      </w:r>
    </w:p>
    <w:p>
      <w:pPr>
        <w:numPr>
          <w:ilvl w:val="0"/>
          <w:numId w:val="1003"/>
        </w:numPr>
        <w:pStyle w:val="Compact"/>
      </w:pPr>
      <w:r>
        <w:t xml:space="preserve">The icon-only mark may be used smaller (e.g. 16px favicon) where the full logo is not legible.</w:t>
      </w:r>
    </w:p>
    <w:p>
      <w:r>
        <w:pict>
          <v:rect style="width:0;height:1.5pt" o:hralign="center" o:hrstd="t" o:hr="t"/>
        </w:pict>
      </w:r>
    </w:p>
    <w:bookmarkEnd w:id="24"/>
    <w:bookmarkStart w:id="25" w:name="logo-dos-and-donts"/>
    <w:p>
      <w:pPr>
        <w:pStyle w:val="Heading2"/>
      </w:pPr>
      <w:r>
        <w:t xml:space="preserve">6. Logo Do’s and Don’ts</w:t>
      </w:r>
    </w:p>
    <w:p>
      <w:pPr>
        <w:pStyle w:val="FirstParagraph"/>
      </w:pPr>
      <w:r>
        <w:rPr>
          <w:bCs/>
          <w:b/>
        </w:rPr>
        <w:t xml:space="preserve">Do</w:t>
      </w:r>
      <w:r>
        <w:t xml:space="preserve"> </w:t>
      </w:r>
      <w:r>
        <w:t xml:space="preserve">- Use the supplied logo files without modification.</w:t>
      </w:r>
      <w:r>
        <w:t xml:space="preserve"> </w:t>
      </w:r>
      <w:r>
        <w:t xml:space="preserve">- Place the logo on approved backgrounds (off-white, navy, charcoal, white, or clean imagery).</w:t>
      </w:r>
      <w:r>
        <w:t xml:space="preserve"> </w:t>
      </w:r>
      <w:r>
        <w:t xml:space="preserve">- Maintain the original proportions — always scale width and height together.</w:t>
      </w:r>
      <w:r>
        <w:t xml:space="preserve"> </w:t>
      </w:r>
      <w:r>
        <w:t xml:space="preserve">- Use the white/reversed logo on dark backgrounds and the primary logo on light backgrounds.</w:t>
      </w:r>
    </w:p>
    <w:p>
      <w:pPr>
        <w:pStyle w:val="BodyText"/>
      </w:pPr>
      <w:r>
        <w:rPr>
          <w:bCs/>
          <w:b/>
        </w:rPr>
        <w:t xml:space="preserve">Don’t</w:t>
      </w:r>
      <w:r>
        <w:t xml:space="preserve"> </w:t>
      </w:r>
      <w:r>
        <w:t xml:space="preserve">- Distort, stretch or squash the logo.</w:t>
      </w:r>
      <w:r>
        <w:t xml:space="preserve"> </w:t>
      </w:r>
      <w:r>
        <w:t xml:space="preserve">- Recolour the logo or the mark outside the approved palette.</w:t>
      </w:r>
      <w:r>
        <w:t xml:space="preserve"> </w:t>
      </w:r>
      <w:r>
        <w:t xml:space="preserve">- Add drop shadows, glows, outlines, gradients or other effects.</w:t>
      </w:r>
      <w:r>
        <w:t xml:space="preserve"> </w:t>
      </w:r>
      <w:r>
        <w:t xml:space="preserve">- Rotate the logo or rearrange its elements.</w:t>
      </w:r>
      <w:r>
        <w:t xml:space="preserve"> </w:t>
      </w:r>
      <w:r>
        <w:t xml:space="preserve">- Place the logo on clashing colours or busy backgrounds where it loses legibility.</w:t>
      </w:r>
      <w:r>
        <w:t xml:space="preserve"> </w:t>
      </w:r>
      <w:r>
        <w:t xml:space="preserve">- Recreate the logo in a different font.</w:t>
      </w:r>
    </w:p>
    <w:p>
      <w:r>
        <w:pict>
          <v:rect style="width:0;height:1.5pt" o:hralign="center" o:hrstd="t" o:hr="t"/>
        </w:pict>
      </w:r>
    </w:p>
    <w:bookmarkEnd w:id="25"/>
    <w:bookmarkStart w:id="26" w:name="colour-palette"/>
    <w:p>
      <w:pPr>
        <w:pStyle w:val="Heading2"/>
      </w:pPr>
      <w:r>
        <w:t xml:space="preserve">7. Colour Palette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#0B1F3A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11, 31, 58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/ 47 / 0 / 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brand 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#C9A84C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201, 168, 76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16 / 62 /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/ highlight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Off-White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#F7F5F2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247, 245, 242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 / 2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Charcoal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#1A202C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26, 32, 44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/ 27 / 0 / 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text / dark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255, 255, 255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Mid-Grey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#4A5568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74, 85, 104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body 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CTA buttons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CTA:</w:t>
      </w:r>
      <w:r>
        <w:t xml:space="preserve"> </w:t>
      </w:r>
      <w:r>
        <w:t xml:space="preserve">Gold</w:t>
      </w:r>
      <w:r>
        <w:t xml:space="preserve"> </w:t>
      </w:r>
      <w:r>
        <w:rPr>
          <w:rStyle w:val="VerbatimChar"/>
        </w:rPr>
        <w:t xml:space="preserve">#C9A84C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Secondary CTA:</w:t>
      </w:r>
      <w:r>
        <w:t xml:space="preserve"> </w:t>
      </w:r>
      <w:r>
        <w:t xml:space="preserve">Navy</w:t>
      </w:r>
      <w:r>
        <w:t xml:space="preserve"> </w:t>
      </w:r>
      <w:r>
        <w:rPr>
          <w:rStyle w:val="VerbatimChar"/>
        </w:rPr>
        <w:t xml:space="preserve">#0B1F3A</w:t>
      </w:r>
    </w:p>
    <w:p>
      <w:r>
        <w:pict>
          <v:rect style="width:0;height:1.5pt" o:hralign="center" o:hrstd="t" o:hr="t"/>
        </w:pict>
      </w:r>
    </w:p>
    <w:bookmarkEnd w:id="26"/>
    <w:bookmarkStart w:id="27" w:name="typography"/>
    <w:p>
      <w:pPr>
        <w:pStyle w:val="Heading2"/>
      </w:pPr>
      <w:r>
        <w:t xml:space="preserve">8. Typography</w:t>
      </w:r>
    </w:p>
    <w:p>
      <w:pPr>
        <w:pStyle w:val="FirstParagraph"/>
      </w:pPr>
      <w:r>
        <w:rPr>
          <w:bCs/>
          <w:b/>
        </w:rPr>
        <w:t xml:space="preserve">Primary — Playfair Display</w:t>
      </w:r>
      <w:r>
        <w:t xml:space="preserve"> </w:t>
      </w:r>
      <w:r>
        <w:t xml:space="preserve">(serif)</w:t>
      </w:r>
      <w:r>
        <w:t xml:space="preserve"> </w:t>
      </w:r>
      <w:r>
        <w:t xml:space="preserve">- Use for: headings H1–H3, and supporting/logo materials.</w:t>
      </w:r>
      <w:r>
        <w:t xml:space="preserve"> </w:t>
      </w:r>
      <w:r>
        <w:t xml:space="preserve">- Weights: 400 Regular, 700 Bold.</w:t>
      </w:r>
    </w:p>
    <w:p>
      <w:pPr>
        <w:pStyle w:val="BodyText"/>
      </w:pPr>
      <w:r>
        <w:rPr>
          <w:bCs/>
          <w:b/>
        </w:rPr>
        <w:t xml:space="preserve">Secondary — Inter</w:t>
      </w:r>
      <w:r>
        <w:t xml:space="preserve"> </w:t>
      </w:r>
      <w:r>
        <w:t xml:space="preserve">(sans-serif)</w:t>
      </w:r>
      <w:r>
        <w:t xml:space="preserve"> </w:t>
      </w:r>
      <w:r>
        <w:t xml:space="preserve">- Use for: body text, navigation, forms, small print.</w:t>
      </w:r>
      <w:r>
        <w:t xml:space="preserve"> </w:t>
      </w:r>
      <w:r>
        <w:t xml:space="preserve">- Weights: 300 Light, 400 Regular, 500 Medium, 600 SemiBold, 700 Bold.</w:t>
      </w:r>
    </w:p>
    <w:p>
      <w:pPr>
        <w:pStyle w:val="BodyText"/>
      </w:pPr>
      <w:r>
        <w:rPr>
          <w:bCs/>
          <w:b/>
        </w:rPr>
        <w:t xml:space="preserve">Heading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</w:tr>
    </w:tbl>
    <w:p>
      <w:pPr>
        <w:pStyle w:val="BodyText"/>
      </w:pPr>
      <w:r>
        <w:rPr>
          <w:bCs/>
          <w:b/>
        </w:rPr>
        <w:t xml:space="preserve">Body &amp; spacing</w:t>
      </w:r>
      <w:r>
        <w:t xml:space="preserve"> </w:t>
      </w:r>
      <w:r>
        <w:t xml:space="preserve">- Body: 18px Regular</w:t>
      </w:r>
      <w:r>
        <w:t xml:space="preserve"> </w:t>
      </w:r>
      <w:r>
        <w:t xml:space="preserve">- Small: 14px</w:t>
      </w:r>
      <w:r>
        <w:t xml:space="preserve"> </w:t>
      </w:r>
      <w:r>
        <w:t xml:space="preserve">- Line height:</w:t>
      </w:r>
      <w:r>
        <w:t xml:space="preserve"> </w:t>
      </w:r>
      <w:r>
        <w:rPr>
          <w:bCs/>
          <w:b/>
        </w:rPr>
        <w:t xml:space="preserve">1.6</w:t>
      </w:r>
      <w:r>
        <w:t xml:space="preserve"> </w:t>
      </w:r>
      <w:r>
        <w:t xml:space="preserve">for body,</w:t>
      </w:r>
      <w:r>
        <w:t xml:space="preserve"> </w:t>
      </w:r>
      <w:r>
        <w:rPr>
          <w:bCs/>
          <w:b/>
        </w:rPr>
        <w:t xml:space="preserve">1.2</w:t>
      </w:r>
      <w:r>
        <w:t xml:space="preserve"> </w:t>
      </w:r>
      <w:r>
        <w:t xml:space="preserve">for headings</w:t>
      </w:r>
    </w:p>
    <w:p>
      <w:pPr>
        <w:pStyle w:val="BodyText"/>
      </w:pPr>
      <w:r>
        <w:t xml:space="preserve">Both fonts are free from Google Fonts and are already loaded on the website.</w:t>
      </w:r>
    </w:p>
    <w:p>
      <w:r>
        <w:pict>
          <v:rect style="width:0;height:1.5pt" o:hralign="center" o:hrstd="t" o:hr="t"/>
        </w:pict>
      </w:r>
    </w:p>
    <w:bookmarkEnd w:id="27"/>
    <w:bookmarkStart w:id="28" w:name="iconography"/>
    <w:p>
      <w:pPr>
        <w:pStyle w:val="Heading2"/>
      </w:pPr>
      <w:r>
        <w:t xml:space="preserve">9. Iconography</w:t>
      </w:r>
    </w:p>
    <w:p>
      <w:pPr>
        <w:numPr>
          <w:ilvl w:val="0"/>
          <w:numId w:val="1004"/>
        </w:numPr>
        <w:pStyle w:val="Compact"/>
      </w:pPr>
      <w:r>
        <w:t xml:space="preserve">Use minimal, modern</w:t>
      </w:r>
      <w:r>
        <w:t xml:space="preserve"> </w:t>
      </w:r>
      <w:r>
        <w:rPr>
          <w:bCs/>
          <w:b/>
        </w:rPr>
        <w:t xml:space="preserve">line icons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2px stroke</w:t>
      </w:r>
      <w:r>
        <w:t xml:space="preserve"> </w:t>
      </w:r>
      <w:r>
        <w:t xml:space="preserve">weight.</w:t>
      </w:r>
    </w:p>
    <w:p>
      <w:pPr>
        <w:numPr>
          <w:ilvl w:val="0"/>
          <w:numId w:val="1004"/>
        </w:numPr>
        <w:pStyle w:val="Compact"/>
      </w:pPr>
      <w:r>
        <w:t xml:space="preserve">Colour icons</w:t>
      </w:r>
      <w:r>
        <w:t xml:space="preserve"> </w:t>
      </w:r>
      <w:r>
        <w:rPr>
          <w:bCs/>
          <w:b/>
        </w:rPr>
        <w:t xml:space="preserve">navy or gold</w:t>
      </w:r>
      <w:r>
        <w:t xml:space="preserve"> </w:t>
      </w:r>
      <w:r>
        <w:t xml:space="preserve">depending on background (white/gold on dark, navy/gold on light).</w:t>
      </w:r>
    </w:p>
    <w:p>
      <w:pPr>
        <w:numPr>
          <w:ilvl w:val="0"/>
          <w:numId w:val="1004"/>
        </w:numPr>
        <w:pStyle w:val="Compact"/>
      </w:pPr>
      <w:r>
        <w:t xml:space="preserve">Keep the style consistent — avoid mixing filled and line icon sets.</w:t>
      </w:r>
    </w:p>
    <w:p>
      <w:r>
        <w:pict>
          <v:rect style="width:0;height:1.5pt" o:hralign="center" o:hrstd="t" o:hr="t"/>
        </w:pict>
      </w:r>
    </w:p>
    <w:bookmarkEnd w:id="28"/>
    <w:bookmarkStart w:id="29" w:name="photography-style"/>
    <w:p>
      <w:pPr>
        <w:pStyle w:val="Heading2"/>
      </w:pPr>
      <w:r>
        <w:t xml:space="preserve">10. Photography Style</w:t>
      </w:r>
    </w:p>
    <w:p>
      <w:pPr>
        <w:numPr>
          <w:ilvl w:val="0"/>
          <w:numId w:val="1005"/>
        </w:numPr>
        <w:pStyle w:val="Compact"/>
      </w:pPr>
      <w:r>
        <w:t xml:space="preserve">Modern</w:t>
      </w:r>
      <w:r>
        <w:t xml:space="preserve"> </w:t>
      </w:r>
      <w:r>
        <w:rPr>
          <w:bCs/>
          <w:b/>
        </w:rPr>
        <w:t xml:space="preserve">UK interiors</w:t>
      </w:r>
      <w:r>
        <w:t xml:space="preserve"> </w:t>
      </w:r>
      <w:r>
        <w:t xml:space="preserve">and residential settings.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Natural light</w:t>
      </w:r>
      <w:r>
        <w:t xml:space="preserve">, bright and airy.</w:t>
      </w:r>
    </w:p>
    <w:p>
      <w:pPr>
        <w:numPr>
          <w:ilvl w:val="0"/>
          <w:numId w:val="1005"/>
        </w:numPr>
        <w:pStyle w:val="Compact"/>
      </w:pPr>
      <w:r>
        <w:t xml:space="preserve">Professional quality — sharp, well-composed, uncluttered.</w:t>
      </w:r>
    </w:p>
    <w:p>
      <w:pPr>
        <w:numPr>
          <w:ilvl w:val="0"/>
          <w:numId w:val="1005"/>
        </w:numPr>
        <w:pStyle w:val="Compact"/>
      </w:pPr>
      <w:r>
        <w:t xml:space="preserve">Show</w:t>
      </w:r>
      <w:r>
        <w:t xml:space="preserve"> </w:t>
      </w:r>
      <w:r>
        <w:rPr>
          <w:bCs/>
          <w:b/>
        </w:rPr>
        <w:t xml:space="preserve">diverse tenants and landlords</w:t>
      </w:r>
      <w:r>
        <w:t xml:space="preserve"> </w:t>
      </w:r>
      <w:r>
        <w:t xml:space="preserve">authentically.</w:t>
      </w:r>
    </w:p>
    <w:p>
      <w:pPr>
        <w:numPr>
          <w:ilvl w:val="0"/>
          <w:numId w:val="1005"/>
        </w:numPr>
        <w:pStyle w:val="Compact"/>
      </w:pPr>
      <w:r>
        <w:t xml:space="preserve">Clean, calm and aspirational — never staged or stocky where it can be avoided.</w:t>
      </w:r>
    </w:p>
    <w:p>
      <w:pPr>
        <w:numPr>
          <w:ilvl w:val="0"/>
          <w:numId w:val="1005"/>
        </w:numPr>
        <w:pStyle w:val="Compact"/>
      </w:pPr>
      <w:r>
        <w:t xml:space="preserve">Avoid low-quality, dated or heavily filtered images.</w:t>
      </w:r>
    </w:p>
    <w:p>
      <w:r>
        <w:pict>
          <v:rect style="width:0;height:1.5pt" o:hralign="center" o:hrstd="t" o:hr="t"/>
        </w:pict>
      </w:r>
    </w:p>
    <w:bookmarkEnd w:id="29"/>
    <w:bookmarkStart w:id="30" w:name="button-styles"/>
    <w:p>
      <w:pPr>
        <w:pStyle w:val="Heading2"/>
      </w:pPr>
      <w:r>
        <w:t xml:space="preserve">11. Button Styles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  <w:r>
              <w:t xml:space="preserve"> </w:t>
            </w:r>
            <w:r>
              <w:rPr>
                <w:rStyle w:val="VerbatimChar"/>
              </w:rPr>
              <w:t xml:space="preserve">#C9A84C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</w:t>
            </w:r>
            <w:r>
              <w:t xml:space="preserve"> </w:t>
            </w:r>
            <w:r>
              <w:rPr>
                <w:rStyle w:val="VerbatimChar"/>
              </w:rPr>
              <w:t xml:space="preserve">#0B1F3A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</w:t>
            </w:r>
            <w:r>
              <w:t xml:space="preserve"> </w:t>
            </w:r>
            <w:r>
              <w:rPr>
                <w:rStyle w:val="VerbatimChar"/>
              </w:rPr>
              <w:t xml:space="preserve">#0B1F3A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white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#25D366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</w:tbl>
    <w:p>
      <w:pPr>
        <w:pStyle w:val="BodyText"/>
      </w:pPr>
      <w:r>
        <w:t xml:space="preserve">Keep button labels short, action-led and in sentence case (e.g. </w:t>
      </w:r>
      <w:r>
        <w:t xml:space="preserve">“</w:t>
      </w:r>
      <w:r>
        <w:t xml:space="preserve">Get a free valuation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social-media-style"/>
    <w:p>
      <w:pPr>
        <w:pStyle w:val="Heading2"/>
      </w:pPr>
      <w:r>
        <w:t xml:space="preserve">12. Social Media Style</w:t>
      </w:r>
    </w:p>
    <w:p>
      <w:pPr>
        <w:numPr>
          <w:ilvl w:val="0"/>
          <w:numId w:val="1006"/>
        </w:numPr>
        <w:pStyle w:val="Compact"/>
      </w:pPr>
      <w:r>
        <w:t xml:space="preserve">Use the navy/gold palette consistently across every platform.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brand icon (ascending mark) should always be present</w:t>
      </w:r>
      <w:r>
        <w:t xml:space="preserve"> </w:t>
      </w:r>
      <w:r>
        <w:t xml:space="preserve">— as the profile avatar and within templates.</w:t>
      </w:r>
    </w:p>
    <w:p>
      <w:pPr>
        <w:numPr>
          <w:ilvl w:val="0"/>
          <w:numId w:val="1006"/>
        </w:numPr>
        <w:pStyle w:val="Compact"/>
      </w:pPr>
      <w:r>
        <w:t xml:space="preserve">Keep a professional, helpful tone in captions; British English.</w:t>
      </w:r>
    </w:p>
    <w:p>
      <w:pPr>
        <w:numPr>
          <w:ilvl w:val="0"/>
          <w:numId w:val="1006"/>
        </w:numPr>
        <w:pStyle w:val="Compact"/>
      </w:pPr>
      <w:r>
        <w:t xml:space="preserve">Use the supplied templates in</w:t>
      </w:r>
      <w:r>
        <w:t xml:space="preserve"> </w:t>
      </w:r>
      <w:r>
        <w:rPr>
          <w:rStyle w:val="VerbatimChar"/>
        </w:rPr>
        <w:t xml:space="preserve">brand/social/</w:t>
      </w:r>
      <w:r>
        <w:t xml:space="preserve"> </w:t>
      </w:r>
      <w:r>
        <w:t xml:space="preserve">for profiles, covers, posts and stories.</w:t>
      </w:r>
    </w:p>
    <w:p>
      <w:pPr>
        <w:numPr>
          <w:ilvl w:val="0"/>
          <w:numId w:val="1006"/>
        </w:numPr>
        <w:pStyle w:val="Compact"/>
      </w:pPr>
      <w:r>
        <w:t xml:space="preserve">Always keep the website URL visible on shareable graphics.</w:t>
      </w:r>
    </w:p>
    <w:p>
      <w:r>
        <w:pict>
          <v:rect style="width:0;height:1.5pt" o:hralign="center" o:hrstd="t" o:hr="t"/>
        </w:pict>
      </w:r>
    </w:p>
    <w:bookmarkEnd w:id="31"/>
    <w:bookmarkStart w:id="32" w:name="digital-documents"/>
    <w:p>
      <w:pPr>
        <w:pStyle w:val="Heading2"/>
      </w:pPr>
      <w:r>
        <w:t xml:space="preserve">13. Digital Documents</w:t>
      </w:r>
    </w:p>
    <w:p>
      <w:pPr>
        <w:numPr>
          <w:ilvl w:val="0"/>
          <w:numId w:val="1007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HTML letterhead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brand/letterhead/letterhead-template.html</w:t>
      </w:r>
      <w:r>
        <w:t xml:space="preserve">) for digital correspondence, and the SVG for print.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Always include the compliance footer</w:t>
      </w:r>
      <w:r>
        <w:t xml:space="preserve"> </w:t>
      </w:r>
      <w:r>
        <w:t xml:space="preserve">— ICO registration number and Property Redress Scheme membership number.</w:t>
      </w:r>
    </w:p>
    <w:p>
      <w:pPr>
        <w:numPr>
          <w:ilvl w:val="0"/>
          <w:numId w:val="1007"/>
        </w:numPr>
        <w:pStyle w:val="Compact"/>
      </w:pPr>
      <w:r>
        <w:t xml:space="preserve">Keep documents clean: navy header, gold accents, plenty of white space.</w:t>
      </w:r>
    </w:p>
    <w:p>
      <w:r>
        <w:pict>
          <v:rect style="width:0;height:1.5pt" o:hralign="center" o:hrstd="t" o:hr="t"/>
        </w:pict>
      </w:r>
    </w:p>
    <w:bookmarkEnd w:id="32"/>
    <w:bookmarkStart w:id="33" w:name="dos"/>
    <w:p>
      <w:pPr>
        <w:pStyle w:val="Heading2"/>
      </w:pPr>
      <w:r>
        <w:t xml:space="preserve">14. Do’s</w:t>
      </w:r>
    </w:p>
    <w:p>
      <w:pPr>
        <w:numPr>
          <w:ilvl w:val="0"/>
          <w:numId w:val="1008"/>
        </w:numPr>
        <w:pStyle w:val="Compact"/>
      </w:pPr>
      <w:r>
        <w:t xml:space="preserve">Use the approved brand assets from the</w:t>
      </w:r>
      <w:r>
        <w:t xml:space="preserve"> </w:t>
      </w:r>
      <w:r>
        <w:rPr>
          <w:rStyle w:val="VerbatimChar"/>
        </w:rPr>
        <w:t xml:space="preserve">brand/</w:t>
      </w:r>
      <w:r>
        <w:t xml:space="preserve"> </w:t>
      </w:r>
      <w:r>
        <w:t xml:space="preserve">folder.</w:t>
      </w:r>
    </w:p>
    <w:p>
      <w:pPr>
        <w:numPr>
          <w:ilvl w:val="0"/>
          <w:numId w:val="1008"/>
        </w:numPr>
        <w:pStyle w:val="Compact"/>
      </w:pPr>
      <w:r>
        <w:t xml:space="preserve">Maintain a consistent tone of voice across all channels.</w:t>
      </w:r>
    </w:p>
    <w:p>
      <w:pPr>
        <w:numPr>
          <w:ilvl w:val="0"/>
          <w:numId w:val="1008"/>
        </w:numPr>
        <w:pStyle w:val="Compact"/>
      </w:pPr>
      <w:r>
        <w:t xml:space="preserve">Always include compliance details (ICO, Property Redress Scheme) on business documents.</w:t>
      </w:r>
    </w:p>
    <w:p>
      <w:pPr>
        <w:numPr>
          <w:ilvl w:val="0"/>
          <w:numId w:val="1008"/>
        </w:numPr>
        <w:pStyle w:val="Compact"/>
      </w:pPr>
      <w:r>
        <w:t xml:space="preserve">Keep layouts clean, spacious and professional.</w:t>
      </w:r>
    </w:p>
    <w:p>
      <w:pPr>
        <w:numPr>
          <w:ilvl w:val="0"/>
          <w:numId w:val="1008"/>
        </w:numPr>
        <w:pStyle w:val="Compact"/>
      </w:pPr>
      <w:r>
        <w:t xml:space="preserve">Proofread in British English.</w:t>
      </w:r>
    </w:p>
    <w:p>
      <w:r>
        <w:pict>
          <v:rect style="width:0;height:1.5pt" o:hralign="center" o:hrstd="t" o:hr="t"/>
        </w:pict>
      </w:r>
    </w:p>
    <w:bookmarkEnd w:id="33"/>
    <w:bookmarkStart w:id="34" w:name="donts"/>
    <w:p>
      <w:pPr>
        <w:pStyle w:val="Heading2"/>
      </w:pPr>
      <w:r>
        <w:t xml:space="preserve">15. Don’ts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imply property management services</w:t>
      </w:r>
      <w:r>
        <w:t xml:space="preserve"> </w:t>
      </w:r>
      <w:r>
        <w:t xml:space="preserve">— Ascend Lettings is a letting agency.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invent statistics</w:t>
      </w:r>
      <w:r>
        <w:t xml:space="preserve"> </w:t>
      </w:r>
      <w:r>
        <w:t xml:space="preserve">or make unverifiable claims.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use unapproved colours or fonts.</w:t>
      </w:r>
    </w:p>
    <w:p>
      <w:pPr>
        <w:numPr>
          <w:ilvl w:val="0"/>
          <w:numId w:val="1009"/>
        </w:numPr>
        <w:pStyle w:val="Compact"/>
      </w:pPr>
      <w:r>
        <w:t xml:space="preserve">Don’t clutter designs or overuse gold — it is an accent, not a background.</w:t>
      </w:r>
    </w:p>
    <w:p>
      <w:pPr>
        <w:numPr>
          <w:ilvl w:val="0"/>
          <w:numId w:val="1009"/>
        </w:numPr>
        <w:pStyle w:val="Compact"/>
      </w:pPr>
      <w:r>
        <w:t xml:space="preserve">Don’t alter, distort or recolour the logo.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questions about brand usage, contact info@ascendlettings.co.uk.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2026-08-13T12:12:48Z</dcterms:created>
  <dcterms:modified xsi:type="dcterms:W3CDTF">2026-08-13T12:12:48Z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