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000000"/>
          <w:sz w:val="32"/>
          <w:u w:val="single"/>
        </w:rPr>
        <w:t>IN THE COURT OF Additional District and Sessions Judge, Islamabad.</w:t>
      </w:r>
    </w:p>
    <w:p>
      <w:pPr>
        <w:spacing w:line="360" w:lineRule="auto" w:after="120"/>
        <w:ind w:firstLine="432"/>
        <w:jc w:val="both"/>
      </w:pPr>
    </w:p>
    <w:p>
      <w:pPr>
        <w:jc w:val="center"/>
      </w:pPr>
      <w:r>
        <w:rPr>
          <w:rFonts w:ascii="Times New Roman" w:hAnsi="Times New Roman"/>
          <w:b/>
          <w:color w:val="8B4513"/>
          <w:sz w:val="24"/>
        </w:rPr>
        <w:t>Case Title: Criminal Miscellaneous Application, e.g., Muhammad Ali versus The State</w:t>
      </w:r>
    </w:p>
    <w:p>
      <w:pPr>
        <w:jc w:val="center"/>
      </w:pPr>
      <w:r>
        <w:rPr>
          <w:rFonts w:ascii="Times New Roman" w:hAnsi="Times New Roman"/>
          <w:b/>
          <w:color w:val="8B4513"/>
          <w:sz w:val="24"/>
        </w:rPr>
        <w:t>APPLICATION FOR CONSOLIDATION OF CASES</w:t>
      </w:r>
    </w:p>
    <w:p>
      <w:pPr>
        <w:spacing w:line="360" w:lineRule="auto" w:after="120"/>
        <w:ind w:firstLine="432"/>
        <w:jc w:val="both"/>
      </w:pPr>
    </w:p>
    <w:p>
      <w:pPr>
        <w:spacing w:line="360" w:lineRule="auto" w:after="120"/>
        <w:ind w:firstLine="432"/>
        <w:jc w:val="both"/>
      </w:pPr>
      <w:r>
        <w:rPr>
          <w:rFonts w:ascii="Times New Roman" w:hAnsi="Times New Roman"/>
          <w:sz w:val="22"/>
        </w:rPr>
        <w:t>May it please Your Honour,</w:t>
      </w:r>
    </w:p>
    <w:p>
      <w:pPr>
        <w:spacing w:line="360" w:lineRule="auto" w:after="120"/>
        <w:ind w:firstLine="432"/>
        <w:jc w:val="both"/>
      </w:pPr>
      <w:r>
        <w:rPr>
          <w:rFonts w:ascii="Times New Roman" w:hAnsi="Times New Roman"/>
          <w:b/>
          <w:color w:val="8B4513"/>
          <w:sz w:val="24"/>
        </w:rPr>
        <w:t>That the Applicant/Petitioner is a party in multiple legal proceedings concerning the same subject matter, specifically Property dispute involving Plot No. 123, Block A, Sector F-10.</w:t>
      </w:r>
    </w:p>
    <w:p>
      <w:pPr>
        <w:spacing w:line="360" w:lineRule="auto" w:after="120"/>
        <w:ind w:firstLine="432"/>
        <w:jc w:val="both"/>
      </w:pPr>
      <w:r>
        <w:rPr>
          <w:rFonts w:ascii="Times New Roman" w:hAnsi="Times New Roman"/>
          <w:sz w:val="22"/>
        </w:rPr>
      </w:r>
    </w:p>
    <w:p>
      <w:pPr>
        <w:spacing w:line="360" w:lineRule="auto" w:after="120"/>
        <w:ind w:firstLine="432"/>
        <w:jc w:val="both"/>
      </w:pPr>
      <w:r>
        <w:rPr>
          <w:rFonts w:ascii="Times New Roman" w:hAnsi="Times New Roman"/>
          <w:b/>
          <w:color w:val="8B4513"/>
          <w:sz w:val="24"/>
        </w:rPr>
        <w:t>That the Opposite Party/Respondent(s) have filed different cases against the Applicant/Petitioner in different courts, as detailed below:</w:t>
      </w:r>
    </w:p>
    <w:p>
      <w:pPr>
        <w:spacing w:line="360" w:lineRule="auto" w:after="120"/>
        <w:ind w:firstLine="432"/>
        <w:jc w:val="both"/>
      </w:pPr>
      <w:r>
        <w:rPr>
          <w:rFonts w:ascii="Times New Roman" w:hAnsi="Times New Roman"/>
          <w:sz w:val="22"/>
        </w:rPr>
      </w:r>
    </w:p>
    <w:p>
      <w:pPr>
        <w:spacing w:line="360" w:lineRule="auto" w:after="120"/>
        <w:ind w:firstLine="432"/>
        <w:jc w:val="center"/>
      </w:pPr>
      <w:r>
        <w:rPr>
          <w:rFonts w:ascii="Times New Roman" w:hAnsi="Times New Roman"/>
          <w:b/>
          <w:color w:val="000000"/>
          <w:sz w:val="32"/>
          <w:u w:val="single"/>
        </w:rPr>
        <w:t>A. Case No. 456/2024, pending in the Court of Civil Court, Islamabad. The next date of hearing is fixed for 15/05/2024.</w:t>
      </w:r>
    </w:p>
    <w:p>
      <w:pPr>
        <w:spacing w:line="360" w:lineRule="auto" w:after="120"/>
        <w:ind w:firstLine="432"/>
        <w:jc w:val="both"/>
      </w:pPr>
      <w:r>
        <w:rPr>
          <w:rFonts w:ascii="Times New Roman" w:hAnsi="Times New Roman"/>
          <w:sz w:val="22"/>
        </w:rPr>
      </w:r>
    </w:p>
    <w:p>
      <w:pPr>
        <w:spacing w:line="360" w:lineRule="auto" w:after="120"/>
        <w:ind w:firstLine="432"/>
        <w:jc w:val="center"/>
      </w:pPr>
      <w:r>
        <w:rPr>
          <w:rFonts w:ascii="Times New Roman" w:hAnsi="Times New Roman"/>
          <w:b/>
          <w:color w:val="000000"/>
          <w:sz w:val="32"/>
          <w:u w:val="single"/>
        </w:rPr>
        <w:t>B. Case No. 789/2024, pending in the Court of Sessions Court, Rawalpindi. The next date of hearing is fixed for 20/05/2024.</w:t>
      </w:r>
    </w:p>
    <w:p>
      <w:pPr>
        <w:spacing w:line="360" w:lineRule="auto" w:after="120"/>
        <w:ind w:firstLine="432"/>
        <w:jc w:val="both"/>
      </w:pPr>
      <w:r>
        <w:rPr>
          <w:rFonts w:ascii="Times New Roman" w:hAnsi="Times New Roman"/>
          <w:sz w:val="22"/>
        </w:rPr>
      </w:r>
    </w:p>
    <w:p>
      <w:pPr>
        <w:spacing w:line="360" w:lineRule="auto" w:after="120"/>
        <w:ind w:firstLine="432"/>
        <w:jc w:val="center"/>
      </w:pPr>
      <w:r>
        <w:rPr>
          <w:rFonts w:ascii="Times New Roman" w:hAnsi="Times New Roman"/>
          <w:b/>
          <w:color w:val="000000"/>
          <w:sz w:val="32"/>
          <w:u w:val="single"/>
        </w:rPr>
        <w:t>C. Case No. 101/2024, pending in the Court of District Court, Islamabad. The next date of hearing is fixed for 25/05/2024.</w:t>
      </w:r>
    </w:p>
    <w:p>
      <w:pPr>
        <w:spacing w:line="360" w:lineRule="auto" w:after="120"/>
        <w:ind w:firstLine="432"/>
        <w:jc w:val="both"/>
      </w:pPr>
      <w:r>
        <w:rPr>
          <w:rFonts w:ascii="Times New Roman" w:hAnsi="Times New Roman"/>
          <w:sz w:val="22"/>
        </w:rPr>
      </w:r>
    </w:p>
    <w:p>
      <w:pPr>
        <w:spacing w:line="360" w:lineRule="auto" w:after="120"/>
        <w:ind w:firstLine="432"/>
        <w:jc w:val="both"/>
      </w:pPr>
      <w:r>
        <w:rPr>
          <w:rFonts w:ascii="Times New Roman" w:hAnsi="Times New Roman"/>
          <w:sz w:val="22"/>
        </w:rPr>
        <w:t>That the core issues, parties, and subject matter involved in the aforementioned cases are identical/substantially the same.</w:t>
      </w:r>
    </w:p>
    <w:p>
      <w:pPr>
        <w:spacing w:line="360" w:lineRule="auto" w:after="120"/>
        <w:ind w:firstLine="432"/>
        <w:jc w:val="both"/>
      </w:pPr>
      <w:r>
        <w:rPr>
          <w:rFonts w:ascii="Times New Roman" w:hAnsi="Times New Roman"/>
          <w:sz w:val="22"/>
        </w:rPr>
      </w:r>
    </w:p>
    <w:p>
      <w:pPr>
        <w:spacing w:line="360" w:lineRule="auto" w:after="120"/>
        <w:ind w:firstLine="432"/>
        <w:jc w:val="both"/>
      </w:pPr>
      <w:r>
        <w:rPr>
          <w:rFonts w:ascii="Times New Roman" w:hAnsi="Times New Roman"/>
          <w:b/>
          <w:color w:val="8B4513"/>
          <w:sz w:val="24"/>
        </w:rPr>
        <w:t>That the Respondent(s) have initiated these multiple proceedings in different courts with a mala fide intention and ulterior motive, solely to harass the Applicant and to prolong the litigation, as the cases are frivolous and baseless.</w:t>
      </w:r>
    </w:p>
    <w:p>
      <w:pPr>
        <w:spacing w:line="360" w:lineRule="auto" w:after="120"/>
        <w:ind w:firstLine="432"/>
        <w:jc w:val="both"/>
      </w:pPr>
      <w:r>
        <w:rPr>
          <w:rFonts w:ascii="Times New Roman" w:hAnsi="Times New Roman"/>
          <w:sz w:val="22"/>
        </w:rPr>
      </w:r>
    </w:p>
    <w:p>
      <w:pPr>
        <w:spacing w:line="360" w:lineRule="auto" w:after="120"/>
        <w:ind w:firstLine="432"/>
        <w:jc w:val="both"/>
      </w:pPr>
      <w:r>
        <w:rPr>
          <w:rFonts w:ascii="Times New Roman" w:hAnsi="Times New Roman"/>
          <w:b/>
          <w:color w:val="8B4513"/>
          <w:sz w:val="24"/>
        </w:rPr>
        <w:t>That if the above-mentioned cases are not consolidated and heard together by the same court, the Applicant will suffer irreparable loss and injury, and it will lead to conflicting judgments and a waste of precious judicial time.</w:t>
      </w:r>
    </w:p>
    <w:p>
      <w:pPr>
        <w:spacing w:line="360" w:lineRule="auto" w:after="120"/>
        <w:ind w:firstLine="432"/>
        <w:jc w:val="both"/>
      </w:pPr>
    </w:p>
    <w:p>
      <w:r>
        <w:rPr>
          <w:rFonts w:ascii="Times New Roman" w:hAnsi="Times New Roman"/>
          <w:b/>
          <w:color w:val="8B4513"/>
          <w:sz w:val="24"/>
        </w:rPr>
        <w:t>PRAYER:</w:t>
      </w:r>
    </w:p>
    <w:p>
      <w:pPr>
        <w:spacing w:line="360" w:lineRule="auto" w:after="120"/>
        <w:ind w:firstLine="432"/>
        <w:jc w:val="both"/>
      </w:pPr>
      <w:r>
        <w:rPr>
          <w:rFonts w:ascii="Times New Roman" w:hAnsi="Times New Roman"/>
          <w:sz w:val="22"/>
        </w:rPr>
        <w:t>Under the circumstances stated above, it is most humbly prayed that this Honourable Court may graciously be pleased to:</w:t>
      </w:r>
    </w:p>
    <w:p>
      <w:pPr>
        <w:spacing w:line="360" w:lineRule="auto" w:after="120"/>
        <w:ind w:firstLine="432"/>
        <w:jc w:val="both"/>
      </w:pPr>
      <w:r>
        <w:rPr>
          <w:rFonts w:ascii="Times New Roman" w:hAnsi="Times New Roman"/>
          <w:sz w:val="22"/>
        </w:rPr>
      </w:r>
    </w:p>
    <w:p>
      <w:pPr>
        <w:spacing w:line="360" w:lineRule="auto" w:after="120"/>
        <w:ind w:firstLine="432"/>
        <w:jc w:val="both"/>
      </w:pPr>
      <w:r>
        <w:rPr>
          <w:rFonts w:ascii="Times New Roman" w:hAnsi="Times New Roman"/>
          <w:sz w:val="22"/>
        </w:rPr>
        <w:t>Direct the consolidation of the following cases:</w:t>
      </w:r>
    </w:p>
    <w:p>
      <w:pPr>
        <w:spacing w:line="360" w:lineRule="auto" w:after="120"/>
        <w:ind w:firstLine="432"/>
        <w:jc w:val="both"/>
      </w:pPr>
      <w:r>
        <w:rPr>
          <w:rFonts w:ascii="Times New Roman" w:hAnsi="Times New Roman"/>
          <w:sz w:val="22"/>
        </w:rPr>
        <w:t>(i) Case No. 456/2024</w:t>
      </w:r>
    </w:p>
    <w:p>
      <w:pPr>
        <w:spacing w:line="360" w:lineRule="auto" w:after="120"/>
        <w:ind w:firstLine="432"/>
        <w:jc w:val="both"/>
      </w:pPr>
      <w:r>
        <w:rPr>
          <w:rFonts w:ascii="Times New Roman" w:hAnsi="Times New Roman"/>
          <w:sz w:val="22"/>
        </w:rPr>
        <w:t>(ii) Case No. 789/2024</w:t>
      </w:r>
    </w:p>
    <w:p>
      <w:pPr>
        <w:spacing w:line="360" w:lineRule="auto" w:after="120"/>
        <w:ind w:firstLine="432"/>
        <w:jc w:val="both"/>
      </w:pPr>
      <w:r>
        <w:rPr>
          <w:rFonts w:ascii="Times New Roman" w:hAnsi="Times New Roman"/>
          <w:sz w:val="22"/>
        </w:rPr>
        <w:t>(iii) Case No. 101/2024</w:t>
      </w:r>
    </w:p>
    <w:p>
      <w:pPr>
        <w:spacing w:line="360" w:lineRule="auto" w:after="120"/>
        <w:ind w:firstLine="432"/>
        <w:jc w:val="both"/>
      </w:pPr>
      <w:r>
        <w:rPr>
          <w:rFonts w:ascii="Times New Roman" w:hAnsi="Times New Roman"/>
          <w:sz w:val="22"/>
        </w:rPr>
      </w:r>
    </w:p>
    <w:p>
      <w:pPr>
        <w:spacing w:line="360" w:lineRule="auto" w:after="120"/>
        <w:ind w:firstLine="432"/>
        <w:jc w:val="both"/>
      </w:pPr>
      <w:r>
        <w:rPr>
          <w:rFonts w:ascii="Times New Roman" w:hAnsi="Times New Roman"/>
          <w:sz w:val="22"/>
        </w:rPr>
        <w:t>and order that they be heard and decided together by this Honourable Court / by a single court of competent jurisdiction, in the interest of justice, equity, and to avoid multiplicity of proceedings.</w:t>
      </w:r>
    </w:p>
    <w:p>
      <w:pPr>
        <w:spacing w:line="360" w:lineRule="auto" w:after="120"/>
        <w:ind w:firstLine="432"/>
        <w:jc w:val="both"/>
      </w:pPr>
    </w:p>
    <w:p>
      <w:pPr>
        <w:spacing w:line="360" w:lineRule="auto" w:after="120"/>
        <w:ind w:firstLine="432"/>
        <w:jc w:val="both"/>
      </w:pPr>
    </w:p>
    <w:p>
      <w:r>
        <w:rPr>
          <w:rFonts w:ascii="Times New Roman" w:hAnsi="Times New Roman"/>
          <w:b/>
          <w:color w:val="8B4513"/>
          <w:sz w:val="24"/>
        </w:rPr>
        <w:t>APPLICANT / PETITIONER</w:t>
      </w:r>
    </w:p>
    <w:p>
      <w:pPr>
        <w:spacing w:line="360" w:lineRule="auto" w:after="120"/>
        <w:ind w:firstLine="432"/>
        <w:jc w:val="both"/>
      </w:pPr>
      <w:r>
        <w:rPr>
          <w:rFonts w:ascii="Times New Roman" w:hAnsi="Times New Roman"/>
          <w:b w:val="0"/>
          <w:sz w:val="22"/>
        </w:rPr>
      </w:r>
    </w:p>
    <w:p>
      <w:pPr>
        <w:spacing w:line="360" w:lineRule="auto" w:after="120"/>
        <w:ind w:firstLine="432"/>
        <w:jc w:val="both"/>
      </w:pPr>
      <w:r>
        <w:rPr>
          <w:rFonts w:ascii="Times New Roman" w:hAnsi="Times New Roman"/>
          <w:b/>
          <w:sz w:val="22"/>
        </w:rPr>
        <w:t>Through Counsel:</w:t>
      </w:r>
    </w:p>
    <w:p>
      <w:pPr>
        <w:spacing w:line="360" w:lineRule="auto" w:after="120"/>
        <w:ind w:firstLine="432"/>
        <w:jc w:val="both"/>
      </w:pPr>
      <w:r>
        <w:rPr>
          <w:rFonts w:ascii="Times New Roman" w:hAnsi="Times New Roman"/>
          <w:b w:val="0"/>
          <w:sz w:val="22"/>
        </w:rPr>
        <w:t>Advocate Hamza Khan</w:t>
      </w:r>
    </w:p>
    <w:p>
      <w:pPr>
        <w:spacing w:line="360" w:lineRule="auto" w:after="120"/>
        <w:ind w:firstLine="432"/>
        <w:jc w:val="both"/>
      </w:pPr>
      <w:r>
        <w:rPr>
          <w:rFonts w:ascii="Times New Roman" w:hAnsi="Times New Roman"/>
          <w:b w:val="0"/>
          <w:sz w:val="22"/>
        </w:rPr>
        <w:t>Advocate</w:t>
      </w:r>
    </w:p>
    <w:p>
      <w:pPr>
        <w:spacing w:line="360" w:lineRule="auto" w:after="120"/>
        <w:ind w:firstLine="432"/>
        <w:jc w:val="both"/>
      </w:pPr>
      <w:r>
        <w:rPr>
          <w:rFonts w:ascii="Times New Roman" w:hAnsi="Times New Roman"/>
          <w:b w:val="0"/>
          <w:sz w:val="22"/>
        </w:rPr>
        <w:t>Enrollment No. 12345/2020</w:t>
      </w:r>
    </w:p>
    <w:p>
      <w:pPr>
        <w:spacing w:line="360" w:lineRule="auto" w:after="120"/>
        <w:ind w:firstLine="432"/>
        <w:jc w:val="both"/>
      </w:pPr>
      <w:r>
        <w:rPr>
          <w:rFonts w:ascii="Times New Roman" w:hAnsi="Times New Roman"/>
          <w:b w:val="0"/>
          <w:sz w:val="22"/>
        </w:rPr>
        <w:t>Dated: 23/04/2026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728" w:right="1872" w:bottom="1728" w:left="1872" w:header="720" w:footer="720" w:gutter="0"/>
      <w:cols w:space="720"/>
      <w:docGrid w:linePitch="360"/>
      <w:pgBorders w:offsetFrom="page">
        <w:top w:val="double" w:sz="24" w:space="24" w:color="8B4513"/>
        <w:left w:val="double" w:sz="24" w:space="24" w:color="8B4513"/>
        <w:bottom w:val="double" w:sz="24" w:space="24" w:color="8B4513"/>
        <w:right w:val="double" w:sz="24" w:space="24" w:color="8B4513"/>
        <w:top w:val="double" w:sz="24" w:space="24" w:color="8B4513"/>
        <w:left w:val="double" w:sz="24" w:space="24" w:color="8B4513"/>
        <w:bottom w:val="double" w:sz="24" w:space="24" w:color="8B4513"/>
        <w:right w:val="double" w:sz="24" w:space="24" w:color="8B4513"/>
        <w:top w:val="double" w:sz="24" w:space="24" w:color="8B4513"/>
        <w:left w:val="double" w:sz="24" w:space="24" w:color="8B4513"/>
        <w:bottom w:val="double" w:sz="24" w:space="24" w:color="8B4513"/>
        <w:right w:val="double" w:sz="24" w:space="24" w:color="8B4513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  <w:color w:val="808080"/>
        <w:sz w:val="18"/>
      </w:rPr>
      <w:t>Generated by Lawmate | Professional Legal Document System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1371600" cy="41148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awmate-logo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371600" cy="411480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center"/>
    </w:pPr>
  </w:p>
  <w:p>
    <w:pPr>
      <w:jc w:val="center"/>
    </w:pPr>
  </w:p>
  <w:p>
    <w:pPr>
      <w:jc w:val="center"/>
    </w:pPr>
  </w:p>
  <w:p>
    <w:pPr>
      <w:jc w:val="center"/>
    </w:pPr>
  </w:p>
  <w:p>
    <w:pPr>
      <w:jc w:val="center"/>
    </w:pPr>
    <w:r>
      <w:rPr>
        <w:b/>
        <w:color w:val="8B4513"/>
        <w:sz w:val="28"/>
      </w:rPr>
      <w:t>Lawmate - Legal Document Generation System</w:t>
    </w:r>
  </w:p>
  <w:p>
    <w:pPr>
      <w:jc w:val="center"/>
    </w:pPr>
    <w:r>
      <w:rPr>
        <w:color w:val="8B4513"/>
      </w:rPr>
      <w:t>══════════════════════════════════════════════════════════════════════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