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IN THE COURT OF Additional District and Sessions Judge, Islamabad.</w:t>
      </w:r>
    </w:p>
    <w:p>
      <w:pPr>
        <w:spacing w:line="360" w:lineRule="auto" w:after="120"/>
        <w:ind w:firstLine="360"/>
        <w:jc w:val="both"/>
      </w:pP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Case Title: Criminal Miscellaneous Application, e.g., Muhammad Ali versus The State</w:t>
      </w:r>
    </w:p>
    <w:p>
      <w:pPr>
        <w:jc w:val="center"/>
      </w:pPr>
      <w:r>
        <w:rPr>
          <w:rFonts w:ascii="Times New Roman" w:hAnsi="Times New Roman"/>
          <w:b/>
          <w:color w:val="000000"/>
          <w:sz w:val="24"/>
        </w:rPr>
        <w:t>APPLICATION FOR CONSOLIDATION OF CASES</w:t>
      </w:r>
    </w:p>
    <w:p>
      <w:pPr>
        <w:spacing w:line="360" w:lineRule="auto" w:after="120"/>
        <w:ind w:firstLine="360"/>
        <w:jc w:val="both"/>
      </w:pP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May it please Your Honour,</w:t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Applicant/Petitioner is a party in multiple legal proceedings concerning the same subject matter, specifically Property dispute involving Plot No. 123, Block A, Sector F-10.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Opposite Party/Respondent(s) have filed different cases against the Applicant/Petitioner in different courts, as detailed below: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A. Case No. 456/2024, pending in the Court of Civil Court, Islamabad. The next date of hearing is fixed for 15/05/2024.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B. Case No. 789/2024, pending in the Court of Sessions Court, Rawalpindi. The next date of hearing is fixed for 20/05/2024.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center"/>
      </w:pPr>
      <w:r>
        <w:rPr>
          <w:rFonts w:ascii="Times New Roman" w:hAnsi="Times New Roman"/>
          <w:b/>
          <w:color w:val="000000"/>
          <w:sz w:val="28"/>
          <w:u w:val="none"/>
        </w:rPr>
        <w:t>C. Case No. 101/2024, pending in the Court of District Court, Islamabad. The next date of hearing is fixed for 25/05/2024.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That the core issues, parties, and subject matter involved in the aforementioned cases are identical/substantially the same.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60" w:lineRule="auto" w:after="12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PRAYER: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Under the circumstances stated above, it is most humbly prayed that this Honourable Court may graciously be pleased to: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Direct the consolidation of the following cases: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(i) Case No. 456/2024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(ii) Case No. 789/2024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(iii) Case No. 101/2024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60" w:lineRule="auto" w:after="120"/>
        <w:ind w:firstLine="360"/>
        <w:jc w:val="both"/>
      </w:pPr>
    </w:p>
    <w:p>
      <w:pPr>
        <w:spacing w:line="360" w:lineRule="auto" w:after="120"/>
        <w:ind w:firstLine="360"/>
        <w:jc w:val="both"/>
      </w:pPr>
    </w:p>
    <w:p>
      <w:r>
        <w:rPr>
          <w:rFonts w:ascii="Times New Roman" w:hAnsi="Times New Roman"/>
          <w:b/>
          <w:color w:val="000000"/>
          <w:sz w:val="24"/>
        </w:rPr>
        <w:t>APPLICANT / PETITIONER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>
      <w:pPr>
        <w:spacing w:line="360" w:lineRule="auto" w:after="120"/>
        <w:ind w:firstLine="432"/>
        <w:jc w:val="both"/>
      </w:pPr>
      <w:r>
        <w:rPr>
          <w:rFonts w:ascii="Times New Roman" w:hAnsi="Times New Roman"/>
          <w:b/>
          <w:color w:val="000000"/>
          <w:sz w:val="24"/>
        </w:rPr>
        <w:t>Through Counsel: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 Hamza Khan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Advocate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Enrollment No. 12345/2020</w:t>
      </w:r>
    </w:p>
    <w:p>
      <w:pPr>
        <w:spacing w:line="360" w:lineRule="auto" w:after="120"/>
        <w:ind w:firstLine="360"/>
        <w:jc w:val="both"/>
      </w:pPr>
      <w:r>
        <w:rPr>
          <w:rFonts w:ascii="Times New Roman" w:hAnsi="Times New Roman"/>
          <w:b w:val="0"/>
          <w:color w:val="000000"/>
          <w:sz w:val="22"/>
        </w:rPr>
        <w:t>Dated: 23/04/2026</w:t>
      </w:r>
    </w:p>
    <w:sectPr w:rsidR="00FC693F" w:rsidRPr="0006063C" w:rsidSect="00034616">
      <w:background w:color="F5E6D3"/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0808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828800" cy="16672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828800" cy="16672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000000"/>
        <w:sz w:val="16"/>
      </w:rP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