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IN THE COURT OF {COURT_NAME}, {CITY_DISTRICT}.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Case Title: {CASE_TITLE}, e.g., {APPLICANT_NAME} versus {RESPONDENT_NAME}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Applicant/Petitioner is a party in multiple legal proceedings concerning the same subject matter, specifically {SUBJECT_MATTER}.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A. {CASE_TITLE_1}, pending in the Court of {COURT_NAME_1}, {LOCATION_1}. The next date of hearing is fixed for {HEARING_DATE_1}.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B. {CASE_TITLE_2}, pending in the Court of {COURT_NAME_2}, {LOCATION_2}. The next date of hearing is fixed for {HEARING_DATE_2}.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C. {CASE_TITLE_3}, pending in the Court of {COURT_NAME_3}, {LOCATION_3}. The next date of hearing is fixed for {HEARING_DATE_3}.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(i) {CASE_TITLE_1}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(ii) {CASE_TITLE_2}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(iii) {CASE_TITLE_3}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{LAWYER_NAME}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Advocate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Enrollment No. {ENROLLMENT_NUMBER}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Dated: {DOCUMENT_DATE}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