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</w:p>
    <w:p>
      <w:pPr>
        <w:spacing w:after="80" w:before="0"/>
      </w:pPr>
    </w:p>
    <w:p>
      <w:pPr>
        <w:spacing w:after="80" w:before="0"/>
      </w:pPr>
    </w:p>
    <w:p>
      <w:pPr>
        <w:spacing w:after="80" w:before="0"/>
      </w:pPr>
    </w:p>
    <w:p>
      <w:pPr>
        <w:jc w:val="center"/>
      </w:pPr>
      <w:r>
        <w:rPr>
          <w:rFonts w:ascii="Segoe UI" w:cs="Segoe UI" w:eastAsia="Segoe UI" w:hAnsi="Segoe UI"/>
          <w:b/>
          <w:bCs/>
          <w:color w:val="003E6B"/>
          <w:sz w:val="72"/>
          <w:szCs w:val="72"/>
        </w:rPr>
        <w:t xml:space="preserve">AMBASSADORC v5</w:t>
      </w:r>
    </w:p>
    <w:p>
      <w:pPr>
        <w:spacing w:after="80" w:before="120"/>
        <w:jc w:val="center"/>
      </w:pPr>
      <w:r>
        <w:rPr>
          <w:color w:val="0078D4"/>
          <w:sz w:val="40"/>
          <w:szCs w:val="40"/>
        </w:rPr>
        <w:t xml:space="preserve">Insurance Management Platform</w:t>
      </w:r>
    </w:p>
    <w:p>
      <w:pPr>
        <w:shd w:fill="0078D4" w:val="clear"/>
        <w:spacing w:after="80" w:before="80"/>
        <w:ind w:left="720" w:right="720"/>
        <w:jc w:val="center"/>
      </w:pPr>
      <w:r>
        <w:rPr>
          <w:b/>
          <w:bCs/>
          <w:color w:val="FFFFFF"/>
          <w:sz w:val="48"/>
          <w:szCs w:val="48"/>
        </w:rPr>
        <w:t xml:space="preserve">  ILLUSTRATED USER MANUAL  </w:t>
      </w:r>
    </w:p>
    <w:p>
      <w:pPr>
        <w:spacing w:after="80" w:before="0"/>
      </w:pPr>
    </w:p>
    <w:p>
      <w:pPr>
        <w:spacing w:after="80" w:before="0"/>
      </w:pPr>
    </w:p>
    <w:p>
      <w:pPr>
        <w:spacing w:after="80" w:before="0"/>
        <w:jc w:val="center"/>
      </w:pPr>
      <w:r>
        <w:rPr>
          <w:color w:val="605E5C"/>
          <w:sz w:val="26"/>
          <w:szCs w:val="26"/>
        </w:rPr>
        <w:t xml:space="preserve">Step-by-Step Guide with Screenshots</w:t>
      </w:r>
    </w:p>
    <w:p>
      <w:pPr>
        <w:jc w:val="center"/>
      </w:pPr>
      <w:r>
        <w:rPr>
          <w:color w:val="605E5C"/>
          <w:sz w:val="22"/>
          <w:szCs w:val="22"/>
        </w:rPr>
        <w:t xml:space="preserve">Version 5.0  |  April 2026</w:t>
      </w:r>
    </w:p>
    <w:p>
      <w:pPr>
        <w:pBdr>
          <w:bottom w:val="single" w:color="F3F2F1" w:sz="3"/>
        </w:pBdr>
        <w:spacing w:after="160" w:before="160"/>
      </w:pPr>
    </w:p>
    <w:p>
      <w:pPr>
        <w:jc w:val="center"/>
      </w:pPr>
      <w:r>
        <w:rPr>
          <w:b/>
          <w:bCs/>
          <w:color w:val="A4262C"/>
          <w:sz w:val="22"/>
          <w:szCs w:val="22"/>
        </w:rPr>
        <w:t xml:space="preserve">CONFIDENTIAL — Internal Use Only</w:t>
      </w:r>
    </w:p>
    <w:p>
      <w:pPr>
        <w:pageBreakBefore/>
      </w:pPr>
    </w:p>
    <w:p>
      <w:pPr>
        <w:pStyle w:val="Heading1"/>
        <w:pBdr>
          <w:bottom w:val="single" w:color="0078D4" w:sz="6" w:space="6"/>
        </w:pBdr>
        <w:spacing w:after="200" w:before="400"/>
      </w:pPr>
      <w:r>
        <w:t xml:space="preserve">1. Introduction</w:t>
      </w:r>
    </w:p>
    <w:p>
      <w:pPr>
        <w:spacing w:after="60" w:before="60"/>
      </w:pPr>
      <w:r>
        <w:rPr>
          <w:color w:val="201F1E"/>
          <w:sz w:val="22"/>
          <w:szCs w:val="22"/>
        </w:rPr>
        <w:t xml:space="preserve">AmbassadorC v5 is a unified, web-based insurance management platform for South African operations. It replaces three legacy systems with a single modern interface accessible from any web browser.</w:t>
      </w:r>
    </w:p>
    <w:p>
      <w:pPr>
        <w:spacing w:after="80" w:before="0"/>
      </w:pPr>
    </w:p>
    <w:p>
      <w:pPr>
        <w:pStyle w:val="Heading2"/>
        <w:spacing w:after="120" w:before="300"/>
      </w:pPr>
      <w:r>
        <w:t xml:space="preserve">1.1  The Home Screen</w:t>
      </w:r>
    </w:p>
    <w:p>
      <w:pPr>
        <w:pBdr>
          <w:top w:val="single" w:color="F3F2F1" w:sz="3"/>
          <w:bottom w:val="single" w:color="F3F2F1" w:sz="3"/>
        </w:pBdr>
        <w:spacing w:after="40" w:before="100"/>
        <w:jc w:val="center"/>
      </w:pPr>
      <w:r>
        <w:drawing>
          <wp:inline distT="0" distB="0" distL="0" distR="0">
            <wp:extent cx="59055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05E5C"/>
          <w:sz w:val="18"/>
          <w:szCs w:val="18"/>
        </w:rPr>
        <w:t xml:space="preserve">Figure 1.1 — AmbassadorC v5 landing page</w:t>
      </w:r>
    </w:p>
    <w:p>
      <w:pPr>
        <w:spacing w:after="60" w:before="60"/>
      </w:pPr>
      <w:r>
        <w:rPr>
          <w:color w:val="201F1E"/>
          <w:sz w:val="22"/>
          <w:szCs w:val="22"/>
        </w:rPr>
        <w:t xml:space="preserve">The public landing page shows platform statistics and two entry buttons: Start for free (Register) and Sign in to your account (Login).</w:t>
      </w:r>
    </w:p>
    <w:p>
      <w:pPr>
        <w:spacing w:after="80" w:before="0"/>
      </w:pPr>
    </w:p>
    <w:p>
      <w:pPr>
        <w:pStyle w:val="Heading2"/>
        <w:spacing w:after="120" w:before="300"/>
      </w:pPr>
      <w:r>
        <w:t xml:space="preserve">1.2  User 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Ambassador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Field representatives — submit leads, track referrals, view commissions.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Agent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Sales agents — work the dialler queue, record call outcomes.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Admin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Back-office staff — full platform access and management.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QA Officer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Quality assurance — review and approve/reject sales.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0078D4" w:sz="6" w:space="6"/>
        </w:pBdr>
        <w:spacing w:after="200" w:before="400"/>
      </w:pPr>
      <w:r>
        <w:t xml:space="preserve">2. Logging In</w:t>
      </w:r>
    </w:p>
    <w:p>
      <w:pPr>
        <w:pBdr>
          <w:top w:val="single" w:color="F3F2F1" w:sz="3"/>
          <w:bottom w:val="single" w:color="F3F2F1" w:sz="3"/>
        </w:pBdr>
        <w:spacing w:after="40" w:before="100"/>
        <w:jc w:val="center"/>
      </w:pPr>
      <w:r>
        <w:drawing>
          <wp:inline distT="0" distB="0" distL="0" distR="0">
            <wp:extent cx="59055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05E5C"/>
          <w:sz w:val="18"/>
          <w:szCs w:val="18"/>
        </w:rPr>
        <w:t xml:space="preserve">Figure 2.1 — Login page</w:t>
      </w:r>
    </w:p>
    <w:p>
      <w:pPr>
        <w:pStyle w:val="Heading2"/>
        <w:spacing w:after="120" w:before="300"/>
      </w:pPr>
      <w:r>
        <w:t xml:space="preserve">2.1  How to Log In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1:  </w:t>
      </w:r>
      <w:r>
        <w:rPr>
          <w:color w:val="201F1E"/>
          <w:sz w:val="22"/>
          <w:szCs w:val="22"/>
        </w:rPr>
        <w:t xml:space="preserve">Open your web browser and navigate to the AmbassadorC v5 URL.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2:  </w:t>
      </w:r>
      <w:r>
        <w:rPr>
          <w:color w:val="201F1E"/>
          <w:sz w:val="22"/>
          <w:szCs w:val="22"/>
        </w:rPr>
        <w:t xml:space="preserve">You will see the "Welcome back" screen shown above.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3:  </w:t>
      </w:r>
      <w:r>
        <w:rPr>
          <w:color w:val="201F1E"/>
          <w:sz w:val="22"/>
          <w:szCs w:val="22"/>
        </w:rPr>
        <w:t xml:space="preserve">Enter your Mobile Number (e.g. 0821234567) in the MOBILE NUMBER field.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4:  </w:t>
      </w:r>
      <w:r>
        <w:rPr>
          <w:color w:val="201F1E"/>
          <w:sz w:val="22"/>
          <w:szCs w:val="22"/>
        </w:rPr>
        <w:t xml:space="preserve">Enter your Password.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5:  </w:t>
      </w:r>
      <w:r>
        <w:rPr>
          <w:color w:val="201F1E"/>
          <w:sz w:val="22"/>
          <w:szCs w:val="22"/>
        </w:rPr>
        <w:t xml:space="preserve">Click the blue Sign In button.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6:  </w:t>
      </w:r>
      <w:r>
        <w:rPr>
          <w:color w:val="201F1E"/>
          <w:sz w:val="22"/>
          <w:szCs w:val="22"/>
        </w:rPr>
        <w:t xml:space="preserve">You will be taken to your role-appropriate dashboard automatically.</w:t>
      </w:r>
    </w:p>
    <w:p>
      <w:pPr>
        <w:pBdr>
          <w:left w:val="thick" w:color="0078D4" w:sz="12" w:space="8"/>
        </w:pBdr>
        <w:shd w:fill="EFF6FC" w:val="clear"/>
        <w:spacing w:after="80" w:before="80"/>
        <w:ind w:left="360"/>
      </w:pPr>
      <w:r>
        <w:rPr>
          <w:b/>
          <w:bCs/>
          <w:color w:val="003E6B"/>
          <w:sz w:val="20"/>
          <w:szCs w:val="20"/>
        </w:rPr>
        <w:t xml:space="preserve">  NOTE:  </w:t>
      </w:r>
      <w:r>
        <w:rPr>
          <w:color w:val="605E5C"/>
          <w:sz w:val="20"/>
          <w:szCs w:val="20"/>
        </w:rPr>
        <w:t xml:space="preserve">Ambassadors are taken to the Ambassador Dashboard. Admins, Agents, and QA Officers are taken to the Admin Operations Centre.</w:t>
      </w:r>
    </w:p>
    <w:p>
      <w:pPr>
        <w:spacing w:after="80" w:before="0"/>
      </w:pPr>
    </w:p>
    <w:p>
      <w:pPr>
        <w:pStyle w:val="Heading2"/>
        <w:spacing w:after="120" w:before="300"/>
      </w:pPr>
      <w:r>
        <w:t xml:space="preserve">2.2  Registering as a New Ambassador</w:t>
      </w:r>
    </w:p>
    <w:p>
      <w:pPr>
        <w:pBdr>
          <w:top w:val="single" w:color="F3F2F1" w:sz="3"/>
          <w:bottom w:val="single" w:color="F3F2F1" w:sz="3"/>
        </w:pBdr>
        <w:spacing w:after="40" w:before="100"/>
        <w:jc w:val="center"/>
      </w:pPr>
      <w:r>
        <w:drawing>
          <wp:inline distT="0" distB="0" distL="0" distR="0">
            <wp:extent cx="59055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05E5C"/>
          <w:sz w:val="18"/>
          <w:szCs w:val="18"/>
        </w:rPr>
        <w:t xml:space="preserve">Figure 2.2 — Ambassador registration page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1:  </w:t>
      </w:r>
      <w:r>
        <w:rPr>
          <w:color w:val="201F1E"/>
          <w:sz w:val="22"/>
          <w:szCs w:val="22"/>
        </w:rPr>
        <w:t xml:space="preserve">On the login page, click Register (bottom right) or navigate to /register.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2:  </w:t>
      </w:r>
      <w:r>
        <w:rPr>
          <w:color w:val="201F1E"/>
          <w:sz w:val="22"/>
          <w:szCs w:val="22"/>
        </w:rPr>
        <w:t xml:space="preserve">Enter your First Name, Last Name, Mobile Number, Province, Government Department, and Password.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3:  </w:t>
      </w:r>
      <w:r>
        <w:rPr>
          <w:color w:val="201F1E"/>
          <w:sz w:val="22"/>
          <w:szCs w:val="22"/>
        </w:rPr>
        <w:t xml:space="preserve">Tick the Terms &amp; Conditions checkbox.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4:  </w:t>
      </w:r>
      <w:r>
        <w:rPr>
          <w:color w:val="201F1E"/>
          <w:sz w:val="22"/>
          <w:szCs w:val="22"/>
        </w:rPr>
        <w:t xml:space="preserve">Click Create Account.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5:  </w:t>
      </w:r>
      <w:r>
        <w:rPr>
          <w:color w:val="201F1E"/>
          <w:sz w:val="22"/>
          <w:szCs w:val="22"/>
        </w:rPr>
        <w:t xml:space="preserve">Once an admin approves your account, you can log in.</w:t>
      </w:r>
    </w:p>
    <w:p>
      <w:pPr>
        <w:pBdr>
          <w:left w:val="thick" w:color="107C10" w:sz="12" w:space="8"/>
        </w:pBdr>
        <w:shd w:fill="F1FAF1" w:val="clear"/>
        <w:spacing w:after="80" w:before="80"/>
        <w:ind w:left="360"/>
      </w:pPr>
      <w:r>
        <w:rPr>
          <w:b/>
          <w:bCs/>
          <w:color w:val="107C10"/>
          <w:sz w:val="20"/>
          <w:szCs w:val="20"/>
        </w:rPr>
        <w:t xml:space="preserve">  TIP:  </w:t>
      </w:r>
      <w:r>
        <w:rPr>
          <w:color w:val="605E5C"/>
          <w:sz w:val="20"/>
          <w:szCs w:val="20"/>
        </w:rPr>
        <w:t xml:space="preserve">Your mobile number is your username — use the same number every time you log in.</w:t>
      </w:r>
    </w:p>
    <w:p>
      <w:pPr>
        <w:pageBreakBefore/>
      </w:pPr>
    </w:p>
    <w:p>
      <w:pPr>
        <w:pStyle w:val="Heading1"/>
        <w:pBdr>
          <w:bottom w:val="single" w:color="0078D4" w:sz="6" w:space="6"/>
        </w:pBdr>
        <w:spacing w:after="200" w:before="400"/>
      </w:pPr>
      <w:r>
        <w:t xml:space="preserve">3. Admin Dashboard (Operations Centre)</w:t>
      </w:r>
    </w:p>
    <w:p>
      <w:pPr>
        <w:pBdr>
          <w:top w:val="single" w:color="F3F2F1" w:sz="3"/>
          <w:bottom w:val="single" w:color="F3F2F1" w:sz="3"/>
        </w:pBdr>
        <w:spacing w:after="40" w:before="10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05E5C"/>
          <w:sz w:val="18"/>
          <w:szCs w:val="18"/>
        </w:rPr>
        <w:t xml:space="preserve">Figure 3.1 — Admin Dashboard / Operations Centre</w:t>
      </w:r>
    </w:p>
    <w:p>
      <w:pPr>
        <w:pStyle w:val="Heading2"/>
        <w:spacing w:after="120" w:before="300"/>
      </w:pPr>
      <w:r>
        <w:t xml:space="preserve">3.1  What You See</w:t>
      </w:r>
    </w:p>
    <w:p>
      <w:pPr>
        <w:spacing w:after="60" w:before="60"/>
      </w:pPr>
      <w:r>
        <w:rPr>
          <w:color w:val="201F1E"/>
          <w:sz w:val="22"/>
          <w:szCs w:val="22"/>
        </w:rPr>
        <w:t xml:space="preserve">The Admin Dashboard is the central hub for administrators. It shows: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01F1E"/>
          <w:sz w:val="22"/>
          <w:szCs w:val="22"/>
        </w:rPr>
        <w:t xml:space="preserve">KPI Cards (top row): Total Clients, Active Policies, Monthly Revenue, Pending QA, Active Agents, Commissions.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01F1E"/>
          <w:sz w:val="22"/>
          <w:szCs w:val="22"/>
        </w:rPr>
        <w:t xml:space="preserve">Module tiles: Quick links to every section — Ambassador Marketing, Sales Capture, QA Validation, Document Delivery, SMS &amp; Client Communication, Lead Intake.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01F1E"/>
          <w:sz w:val="22"/>
          <w:szCs w:val="22"/>
        </w:rPr>
        <w:t xml:space="preserve">Sidebar (left): Navigation menu with all modules grouped by function.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01F1E"/>
          <w:sz w:val="22"/>
          <w:szCs w:val="22"/>
        </w:rPr>
        <w:t xml:space="preserve">Header (top): Search bar and your user avatar (SA for System Admin).</w:t>
      </w:r>
    </w:p>
    <w:p>
      <w:pPr>
        <w:spacing w:after="80" w:before="0"/>
      </w:pPr>
    </w:p>
    <w:p>
      <w:pPr>
        <w:pStyle w:val="Heading2"/>
        <w:spacing w:after="120" w:before="300"/>
      </w:pPr>
      <w:r>
        <w:t xml:space="preserve">3.2  Navigation Sidebar</w:t>
      </w:r>
    </w:p>
    <w:p>
      <w:pPr>
        <w:spacing w:after="60" w:before="60"/>
      </w:pPr>
      <w:r>
        <w:rPr>
          <w:color w:val="201F1E"/>
          <w:sz w:val="22"/>
          <w:szCs w:val="22"/>
        </w:rPr>
        <w:t xml:space="preserve">The sidebar groups all modules into three sections: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Modules Available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Marketing &amp; Ambassador App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Agent Management, Ambassador Backend, All Leads, Lead Pipeline, Lead Dialler (Admin)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Engagement / Onboarding / Premium Collections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Client Records, Sales Capture, Commissions, QA Validation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Bottom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Sign out, Collapse sidebar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0078D4" w:sz="6" w:space="6"/>
        </w:pBdr>
        <w:spacing w:after="200" w:before="400"/>
      </w:pPr>
      <w:r>
        <w:t xml:space="preserve">4. Lead Management</w:t>
      </w:r>
    </w:p>
    <w:p>
      <w:pPr>
        <w:pStyle w:val="Heading2"/>
        <w:spacing w:after="120" w:before="300"/>
      </w:pPr>
      <w:r>
        <w:t xml:space="preserve">4.1  All Leads List</w:t>
      </w:r>
    </w:p>
    <w:p>
      <w:pPr>
        <w:pBdr>
          <w:top w:val="single" w:color="F3F2F1" w:sz="3"/>
          <w:bottom w:val="single" w:color="F3F2F1" w:sz="3"/>
        </w:pBdr>
        <w:spacing w:after="40" w:before="10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05E5C"/>
          <w:sz w:val="18"/>
          <w:szCs w:val="18"/>
        </w:rPr>
        <w:t xml:space="preserve">Figure 4.1 — All Leads list with search and filters</w:t>
      </w:r>
    </w:p>
    <w:p>
      <w:pPr>
        <w:spacing w:after="60" w:before="60"/>
      </w:pPr>
      <w:r>
        <w:rPr>
          <w:color w:val="201F1E"/>
          <w:sz w:val="22"/>
          <w:szCs w:val="22"/>
        </w:rPr>
        <w:t xml:space="preserve">The All Leads page shows every lead in the system in a searchable, sortable table.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1:  </w:t>
      </w:r>
      <w:r>
        <w:rPr>
          <w:color w:val="201F1E"/>
          <w:sz w:val="22"/>
          <w:szCs w:val="22"/>
        </w:rPr>
        <w:t xml:space="preserve">In the sidebar, click All Leads.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2:  </w:t>
      </w:r>
      <w:r>
        <w:rPr>
          <w:color w:val="201F1E"/>
          <w:sz w:val="22"/>
          <w:szCs w:val="22"/>
        </w:rPr>
        <w:t xml:space="preserve">Use the search bar to find a lead by name, phone number, or ambassador name.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3:  </w:t>
      </w:r>
      <w:r>
        <w:rPr>
          <w:color w:val="201F1E"/>
          <w:sz w:val="22"/>
          <w:szCs w:val="22"/>
        </w:rPr>
        <w:t xml:space="preserve">Use the filter dropdowns to narrow by Type, Status, or Assignment.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4:  </w:t>
      </w:r>
      <w:r>
        <w:rPr>
          <w:color w:val="201F1E"/>
          <w:sz w:val="22"/>
          <w:szCs w:val="22"/>
        </w:rPr>
        <w:t xml:space="preserve">Click any row to open the full Lead Detail page.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5:  </w:t>
      </w:r>
      <w:r>
        <w:rPr>
          <w:color w:val="201F1E"/>
          <w:sz w:val="22"/>
          <w:szCs w:val="22"/>
        </w:rPr>
        <w:t xml:space="preserve">Click the Refresh button to reload the list.</w:t>
      </w:r>
    </w:p>
    <w:p>
      <w:pPr>
        <w:spacing w:after="80" w:before="0"/>
      </w:pPr>
    </w:p>
    <w:p>
      <w:pPr>
        <w:pStyle w:val="Heading2"/>
        <w:spacing w:after="120" w:before="300"/>
      </w:pPr>
      <w:r>
        <w:t xml:space="preserve">4.2  Lead Pipeline (Kanban View)</w:t>
      </w:r>
    </w:p>
    <w:p>
      <w:pPr>
        <w:pBdr>
          <w:top w:val="single" w:color="F3F2F1" w:sz="3"/>
          <w:bottom w:val="single" w:color="F3F2F1" w:sz="3"/>
        </w:pBdr>
        <w:spacing w:after="40" w:before="10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05E5C"/>
          <w:sz w:val="18"/>
          <w:szCs w:val="18"/>
        </w:rPr>
        <w:t xml:space="preserve">Figure 4.2 — Lead Pipeline Kanban board</w:t>
      </w:r>
    </w:p>
    <w:p>
      <w:pPr>
        <w:spacing w:after="60" w:before="60"/>
      </w:pPr>
      <w:r>
        <w:rPr>
          <w:color w:val="201F1E"/>
          <w:sz w:val="22"/>
          <w:szCs w:val="22"/>
        </w:rPr>
        <w:t xml:space="preserve">The Lead Pipeline shows all leads as cards in columns, one column per stage of the sales journey.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Submitted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Lead just submitted by an ambassador. Awaiting agent assignment.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Assigned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Lead assigned to an agent. Pending first call.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No Answer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Agent called — no answer. Scheduled for callback.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Callback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Client requested a specific callback time.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Not Interested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Client not interested. Archived.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Sale Made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Lead converted — client paid. Commission triggered.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00"/>
      </w:pPr>
      <w:r>
        <w:t xml:space="preserve">4.3  Lead Dialler Management</w:t>
      </w:r>
    </w:p>
    <w:p>
      <w:pPr>
        <w:pBdr>
          <w:top w:val="single" w:color="F3F2F1" w:sz="3"/>
          <w:bottom w:val="single" w:color="F3F2F1" w:sz="3"/>
        </w:pBdr>
        <w:spacing w:after="40" w:before="10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05E5C"/>
          <w:sz w:val="18"/>
          <w:szCs w:val="18"/>
        </w:rPr>
        <w:t xml:space="preserve">Figure 4.3 — Lead Dialler Management page</w:t>
      </w:r>
    </w:p>
    <w:p>
      <w:pPr>
        <w:spacing w:after="60" w:before="60"/>
      </w:pPr>
      <w:r>
        <w:rPr>
          <w:color w:val="201F1E"/>
          <w:sz w:val="22"/>
          <w:szCs w:val="22"/>
        </w:rPr>
        <w:t xml:space="preserve">Admins use the Dialler Management page to assign leads to agents and monitor the call queue.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1:  </w:t>
      </w:r>
      <w:r>
        <w:rPr>
          <w:color w:val="201F1E"/>
          <w:sz w:val="22"/>
          <w:szCs w:val="22"/>
        </w:rPr>
        <w:t xml:space="preserve">Click Lead Dialler (Admin) in the sidebar.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2:  </w:t>
      </w:r>
      <w:r>
        <w:rPr>
          <w:color w:val="201F1E"/>
          <w:sz w:val="22"/>
          <w:szCs w:val="22"/>
        </w:rPr>
        <w:t xml:space="preserve">The top row shows KPIs: Total Leads, Agents Active, Sales Made, Pending Calls.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3:  </w:t>
      </w:r>
      <w:r>
        <w:rPr>
          <w:color w:val="201F1E"/>
          <w:sz w:val="22"/>
          <w:szCs w:val="22"/>
        </w:rPr>
        <w:t xml:space="preserve">The Unassigned Leads tab shows all leads waiting for an agent.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4:  </w:t>
      </w:r>
      <w:r>
        <w:rPr>
          <w:color w:val="201F1E"/>
          <w:sz w:val="22"/>
          <w:szCs w:val="22"/>
        </w:rPr>
        <w:t xml:space="preserve">Tick one or more lead checkboxes, then select an agent from the ASSIGN TO AGENT dropdown.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5:  </w:t>
      </w:r>
      <w:r>
        <w:rPr>
          <w:color w:val="201F1E"/>
          <w:sz w:val="22"/>
          <w:szCs w:val="22"/>
        </w:rPr>
        <w:t xml:space="preserve">Click Assign to transfer the leads to that agent.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6:  </w:t>
      </w:r>
      <w:r>
        <w:rPr>
          <w:color w:val="201F1E"/>
          <w:sz w:val="22"/>
          <w:szCs w:val="22"/>
        </w:rPr>
        <w:t xml:space="preserve">Click Assigned / Dialled tab to see leads already in agents queues.</w:t>
      </w:r>
    </w:p>
    <w:p>
      <w:pPr>
        <w:pageBreakBefore/>
      </w:pPr>
    </w:p>
    <w:p>
      <w:pPr>
        <w:pStyle w:val="Heading1"/>
        <w:pBdr>
          <w:bottom w:val="single" w:color="0078D4" w:sz="6" w:space="6"/>
        </w:pBdr>
        <w:spacing w:after="200" w:before="400"/>
      </w:pPr>
      <w:r>
        <w:t xml:space="preserve">5. Client Records</w:t>
      </w:r>
    </w:p>
    <w:p>
      <w:pPr>
        <w:pBdr>
          <w:top w:val="single" w:color="F3F2F1" w:sz="3"/>
          <w:bottom w:val="single" w:color="F3F2F1" w:sz="3"/>
        </w:pBdr>
        <w:spacing w:after="40" w:before="10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05E5C"/>
          <w:sz w:val="18"/>
          <w:szCs w:val="18"/>
        </w:rPr>
        <w:t xml:space="preserve">Figure 5.1 — Client Records list</w:t>
      </w:r>
    </w:p>
    <w:p>
      <w:pPr>
        <w:pStyle w:val="Heading2"/>
        <w:spacing w:after="120" w:before="300"/>
      </w:pPr>
      <w:r>
        <w:t xml:space="preserve">5.1  Viewing All Clients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1:  </w:t>
      </w:r>
      <w:r>
        <w:rPr>
          <w:color w:val="201F1E"/>
          <w:sz w:val="22"/>
          <w:szCs w:val="22"/>
        </w:rPr>
        <w:t xml:space="preserve">In the sidebar, click Client Records.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2:  </w:t>
      </w:r>
      <w:r>
        <w:rPr>
          <w:color w:val="201F1E"/>
          <w:sz w:val="22"/>
          <w:szCs w:val="22"/>
        </w:rPr>
        <w:t xml:space="preserve">A table shows all clients: Name, ID Number, Phone, Province, Policies, Created Date.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3:  </w:t>
      </w:r>
      <w:r>
        <w:rPr>
          <w:color w:val="201F1E"/>
          <w:sz w:val="22"/>
          <w:szCs w:val="22"/>
        </w:rPr>
        <w:t xml:space="preserve">Use the search bar to find a client by name, ID number, or phone.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4:  </w:t>
      </w:r>
      <w:r>
        <w:rPr>
          <w:color w:val="201F1E"/>
          <w:sz w:val="22"/>
          <w:szCs w:val="22"/>
        </w:rPr>
        <w:t xml:space="preserve">Click any row to open the full Client Detail page.</w:t>
      </w:r>
    </w:p>
    <w:p>
      <w:pPr>
        <w:spacing w:after="80" w:before="0"/>
      </w:pPr>
    </w:p>
    <w:p>
      <w:pPr>
        <w:pStyle w:val="Heading2"/>
        <w:spacing w:after="120" w:before="300"/>
      </w:pPr>
      <w:r>
        <w:t xml:space="preserve">5.2  Adding a New Client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1:  </w:t>
      </w:r>
      <w:r>
        <w:rPr>
          <w:color w:val="201F1E"/>
          <w:sz w:val="22"/>
          <w:szCs w:val="22"/>
        </w:rPr>
        <w:t xml:space="preserve">Click the blue + Add Client button (top right).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2:  </w:t>
      </w:r>
      <w:r>
        <w:rPr>
          <w:color w:val="201F1E"/>
          <w:sz w:val="22"/>
          <w:szCs w:val="22"/>
        </w:rPr>
        <w:t xml:space="preserve">Fill in: First Name, Last Name, ID Number, Cell Number, Address, Province.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3:  </w:t>
      </w:r>
      <w:r>
        <w:rPr>
          <w:color w:val="201F1E"/>
          <w:sz w:val="22"/>
          <w:szCs w:val="22"/>
        </w:rPr>
        <w:t xml:space="preserve">Click Save Client.</w:t>
      </w:r>
    </w:p>
    <w:p>
      <w:pPr>
        <w:pBdr>
          <w:left w:val="thick" w:color="A4262C" w:sz="12" w:space="8"/>
        </w:pBdr>
        <w:shd w:fill="FDF3F4" w:val="clear"/>
        <w:spacing w:after="80" w:before="80"/>
        <w:ind w:left="360"/>
      </w:pPr>
      <w:r>
        <w:rPr>
          <w:b/>
          <w:bCs/>
          <w:color w:val="A4262C"/>
          <w:sz w:val="20"/>
          <w:szCs w:val="20"/>
        </w:rPr>
        <w:t xml:space="preserve">  WARNING:  </w:t>
      </w:r>
      <w:r>
        <w:rPr>
          <w:color w:val="605E5C"/>
          <w:sz w:val="20"/>
          <w:szCs w:val="20"/>
        </w:rPr>
        <w:t xml:space="preserve">South African ID numbers are validated. Ensure the ID is correct before saving.</w:t>
      </w:r>
    </w:p>
    <w:p>
      <w:pPr>
        <w:pageBreakBefore/>
      </w:pPr>
    </w:p>
    <w:p>
      <w:pPr>
        <w:pStyle w:val="Heading1"/>
        <w:pBdr>
          <w:bottom w:val="single" w:color="0078D4" w:sz="6" w:space="6"/>
        </w:pBdr>
        <w:spacing w:after="200" w:before="400"/>
      </w:pPr>
      <w:r>
        <w:t xml:space="preserve">6. Policies</w:t>
      </w:r>
    </w:p>
    <w:p>
      <w:pPr>
        <w:pBdr>
          <w:top w:val="single" w:color="F3F2F1" w:sz="3"/>
          <w:bottom w:val="single" w:color="F3F2F1" w:sz="3"/>
        </w:pBdr>
        <w:spacing w:after="40" w:before="10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05E5C"/>
          <w:sz w:val="18"/>
          <w:szCs w:val="18"/>
        </w:rPr>
        <w:t xml:space="preserve">Figure 6.1 — Policies list with status filter tabs</w:t>
      </w:r>
    </w:p>
    <w:p>
      <w:pPr>
        <w:pStyle w:val="Heading2"/>
        <w:spacing w:after="120" w:before="300"/>
      </w:pPr>
      <w:r>
        <w:t xml:space="preserve">6.1  Viewing Policies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1:  </w:t>
      </w:r>
      <w:r>
        <w:rPr>
          <w:color w:val="201F1E"/>
          <w:sz w:val="22"/>
          <w:szCs w:val="22"/>
        </w:rPr>
        <w:t xml:space="preserve">In the sidebar, click under Sales Capture (or navigate to Policies).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2:  </w:t>
      </w:r>
      <w:r>
        <w:rPr>
          <w:color w:val="201F1E"/>
          <w:sz w:val="22"/>
          <w:szCs w:val="22"/>
        </w:rPr>
        <w:t xml:space="preserve">Use the filter tabs — All, Active, Pending, Qa Pending, Cancelled, Lapsed — to narrow results.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3:  </w:t>
      </w:r>
      <w:r>
        <w:rPr>
          <w:color w:val="201F1E"/>
          <w:sz w:val="22"/>
          <w:szCs w:val="22"/>
        </w:rPr>
        <w:t xml:space="preserve">Use the search bar to find a specific policy by number, client, or product.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4:  </w:t>
      </w:r>
      <w:r>
        <w:rPr>
          <w:color w:val="201F1E"/>
          <w:sz w:val="22"/>
          <w:szCs w:val="22"/>
        </w:rPr>
        <w:t xml:space="preserve">Each row shows: Policy #, Client, Product, Premium, Status, Start Date, Agent.</w:t>
      </w:r>
    </w:p>
    <w:p>
      <w:pPr>
        <w:spacing w:after="80" w:before="0"/>
      </w:pPr>
    </w:p>
    <w:p>
      <w:pPr>
        <w:pStyle w:val="Heading2"/>
        <w:spacing w:after="120" w:before="300"/>
      </w:pPr>
      <w:r>
        <w:t xml:space="preserve">6.2  Policy Status Guide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 Tab</w:t>
            </w:r>
          </w:p>
        </w:tc>
        <w:tc>
          <w:tcPr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Pending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Policy created but first payment not yet collected.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Qa Pending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Awaiting QA officer review before activation.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Active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Policy in force — client is paying monthly.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Lapsed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Missed payments — policy inactive but recoverable.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Cancelled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Policy permanently closed.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0078D4" w:sz="6" w:space="6"/>
        </w:pBdr>
        <w:spacing w:after="200" w:before="400"/>
      </w:pPr>
      <w:r>
        <w:t xml:space="preserve">7. Sales Capture (Sales Pipeline)</w:t>
      </w:r>
    </w:p>
    <w:p>
      <w:pPr>
        <w:pBdr>
          <w:top w:val="single" w:color="F3F2F1" w:sz="3"/>
          <w:bottom w:val="single" w:color="F3F2F1" w:sz="3"/>
        </w:pBdr>
        <w:spacing w:after="40" w:before="10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05E5C"/>
          <w:sz w:val="18"/>
          <w:szCs w:val="18"/>
        </w:rPr>
        <w:t xml:space="preserve">Figure 7.1 — Sales Dashboard showing product spread and active agents</w:t>
      </w:r>
    </w:p>
    <w:p>
      <w:pPr>
        <w:pStyle w:val="Heading2"/>
        <w:spacing w:after="120" w:before="300"/>
      </w:pPr>
      <w:r>
        <w:t xml:space="preserve">7.1  What the Sales Dashboard Shows</w:t>
      </w:r>
    </w:p>
    <w:p>
      <w:pPr>
        <w:spacing w:after="60" w:before="60"/>
      </w:pPr>
      <w:r>
        <w:rPr>
          <w:color w:val="201F1E"/>
          <w:sz w:val="22"/>
          <w:szCs w:val="22"/>
        </w:rPr>
        <w:t xml:space="preserve">The Sales Dashboard gives a product-by-product breakdown of all sales, and lists all active agents with their individual sales counts and values.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01F1E"/>
          <w:sz w:val="22"/>
          <w:szCs w:val="22"/>
        </w:rPr>
        <w:t xml:space="preserve">Product Spread table: rows per product — Premium, Sales count, Total Value.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01F1E"/>
          <w:sz w:val="22"/>
          <w:szCs w:val="22"/>
        </w:rPr>
        <w:t xml:space="preserve">Active Agents list: click an agent name to drill into their individual product spread.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01F1E"/>
          <w:sz w:val="22"/>
          <w:szCs w:val="22"/>
        </w:rPr>
        <w:t xml:space="preserve">Toggle between grid view (tiles) and list view (table) using the icons top-right.</w:t>
      </w:r>
    </w:p>
    <w:p>
      <w:pPr>
        <w:spacing w:after="80" w:before="0"/>
      </w:pPr>
    </w:p>
    <w:p>
      <w:pPr>
        <w:pStyle w:val="Heading2"/>
        <w:spacing w:after="120" w:before="300"/>
      </w:pPr>
      <w:r>
        <w:t xml:space="preserve">7.2  Sale Status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Next Action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NEW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Sale just recorded.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Submit for QA review.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QA_PENDING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Awaiting QA officer.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QA officer reviews.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QA_APPROVED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QA passed.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Admin activates.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QA_REJECTED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QA failed.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Agent corrects and resubmits.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ACTIVE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Sale live, policy in force.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Monthly premium collection.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CANCELLED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Sale cancelled.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No further action.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0078D4" w:sz="6" w:space="6"/>
        </w:pBdr>
        <w:spacing w:after="200" w:before="400"/>
      </w:pPr>
      <w:r>
        <w:t xml:space="preserve">8. Commissions</w:t>
      </w:r>
    </w:p>
    <w:p>
      <w:pPr>
        <w:pBdr>
          <w:top w:val="single" w:color="F3F2F1" w:sz="3"/>
          <w:bottom w:val="single" w:color="F3F2F1" w:sz="3"/>
        </w:pBdr>
        <w:spacing w:after="40" w:before="10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05E5C"/>
          <w:sz w:val="18"/>
          <w:szCs w:val="18"/>
        </w:rPr>
        <w:t xml:space="preserve">Figure 8.1 — Commissions page with KPI cards and agent filter</w:t>
      </w:r>
    </w:p>
    <w:p>
      <w:pPr>
        <w:pStyle w:val="Heading2"/>
        <w:spacing w:after="120" w:before="300"/>
      </w:pPr>
      <w:r>
        <w:t xml:space="preserve">8.1  Viewing Commissions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1:  </w:t>
      </w:r>
      <w:r>
        <w:rPr>
          <w:color w:val="201F1E"/>
          <w:sz w:val="22"/>
          <w:szCs w:val="22"/>
        </w:rPr>
        <w:t xml:space="preserve">In the sidebar, click Commissions.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2:  </w:t>
      </w:r>
      <w:r>
        <w:rPr>
          <w:color w:val="201F1E"/>
          <w:sz w:val="22"/>
          <w:szCs w:val="22"/>
        </w:rPr>
        <w:t xml:space="preserve">The three KPI cards show: Total Earned, Pending, and Paid This Month.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3:  </w:t>
      </w:r>
      <w:r>
        <w:rPr>
          <w:color w:val="201F1E"/>
          <w:sz w:val="22"/>
          <w:szCs w:val="22"/>
        </w:rPr>
        <w:t xml:space="preserve">Use the tabs — All, Pending, Paid — to filter the table below.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4:  </w:t>
      </w:r>
      <w:r>
        <w:rPr>
          <w:color w:val="201F1E"/>
          <w:sz w:val="22"/>
          <w:szCs w:val="22"/>
        </w:rPr>
        <w:t xml:space="preserve">Use the All Agents dropdown to filter by a specific ambassador.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5:  </w:t>
      </w:r>
      <w:r>
        <w:rPr>
          <w:color w:val="201F1E"/>
          <w:sz w:val="22"/>
          <w:szCs w:val="22"/>
        </w:rPr>
        <w:t xml:space="preserve">Each row shows: Agent, Client, Product, Amount, Status, Date.</w:t>
      </w:r>
    </w:p>
    <w:p>
      <w:pPr>
        <w:spacing w:after="80" w:before="0"/>
      </w:pPr>
    </w:p>
    <w:p>
      <w:pPr>
        <w:pStyle w:val="Heading2"/>
        <w:spacing w:after="120" w:before="300"/>
      </w:pPr>
      <w:r>
        <w:t xml:space="preserve">8.2  How Commissions Are Calculated</w:t>
      </w:r>
    </w:p>
    <w:p>
      <w:pPr>
        <w:spacing w:after="60" w:before="60"/>
      </w:pPr>
      <w:r>
        <w:rPr>
          <w:color w:val="201F1E"/>
          <w:sz w:val="22"/>
          <w:szCs w:val="22"/>
        </w:rPr>
        <w:t xml:space="preserve">Commissions are automatically generated when a sale reaches QA_APPROVED or ACTIVE status. Each product has a pre-configured commission percentage. The ambassador who submitted the original lead receives the commission.</w:t>
      </w:r>
    </w:p>
    <w:p>
      <w:pPr>
        <w:pBdr>
          <w:left w:val="thick" w:color="107C10" w:sz="12" w:space="8"/>
        </w:pBdr>
        <w:shd w:fill="F1FAF1" w:val="clear"/>
        <w:spacing w:after="80" w:before="80"/>
        <w:ind w:left="360"/>
      </w:pPr>
      <w:r>
        <w:rPr>
          <w:b/>
          <w:bCs/>
          <w:color w:val="107C10"/>
          <w:sz w:val="20"/>
          <w:szCs w:val="20"/>
        </w:rPr>
        <w:t xml:space="preserve">  TIP:  </w:t>
      </w:r>
      <w:r>
        <w:rPr>
          <w:color w:val="605E5C"/>
          <w:sz w:val="20"/>
          <w:szCs w:val="20"/>
        </w:rPr>
        <w:t xml:space="preserve">Use the All Agents dropdown to generate a commission statement for a specific ambassador, then export to CSV for payroll.</w:t>
      </w:r>
    </w:p>
    <w:p>
      <w:pPr>
        <w:pageBreakBefore/>
      </w:pPr>
    </w:p>
    <w:p>
      <w:pPr>
        <w:pStyle w:val="Heading1"/>
        <w:pBdr>
          <w:bottom w:val="single" w:color="0078D4" w:sz="6" w:space="6"/>
        </w:pBdr>
        <w:spacing w:after="200" w:before="400"/>
      </w:pPr>
      <w:r>
        <w:t xml:space="preserve">9. Quality Assurance (QA Validation)</w:t>
      </w:r>
    </w:p>
    <w:p>
      <w:pPr>
        <w:pBdr>
          <w:top w:val="single" w:color="F3F2F1" w:sz="3"/>
          <w:bottom w:val="single" w:color="F3F2F1" w:sz="3"/>
        </w:pBdr>
        <w:spacing w:after="40" w:before="10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05E5C"/>
          <w:sz w:val="18"/>
          <w:szCs w:val="18"/>
        </w:rPr>
        <w:t xml:space="preserve">Figure 9.1 — QA Mailbox with Pending, Passed, Repair, Failed tabs</w:t>
      </w:r>
    </w:p>
    <w:p>
      <w:pPr>
        <w:pStyle w:val="Heading2"/>
        <w:spacing w:after="120" w:before="300"/>
      </w:pPr>
      <w:r>
        <w:t xml:space="preserve">9.1  The QA Mailbox</w:t>
      </w:r>
    </w:p>
    <w:p>
      <w:pPr>
        <w:spacing w:after="60" w:before="60"/>
      </w:pPr>
      <w:r>
        <w:rPr>
          <w:color w:val="201F1E"/>
          <w:sz w:val="22"/>
          <w:szCs w:val="22"/>
        </w:rPr>
        <w:t xml:space="preserve">The QA Mailbox is a queue of all sales waiting for quality review before export to NetCash or QLink. Each sale must be reviewed by a QA officer before the policy can go live.</w:t>
      </w:r>
    </w:p>
    <w:p>
      <w:pPr>
        <w:spacing w:after="80" w:before="0"/>
      </w:pPr>
    </w:p>
    <w:p>
      <w:pPr>
        <w:pStyle w:val="Heading2"/>
        <w:spacing w:after="120" w:before="300"/>
      </w:pPr>
      <w:r>
        <w:t xml:space="preserve">9.2  Reviewing a Sale (QA Officer)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1:  </w:t>
      </w:r>
      <w:r>
        <w:rPr>
          <w:color w:val="201F1E"/>
          <w:sz w:val="22"/>
          <w:szCs w:val="22"/>
        </w:rPr>
        <w:t xml:space="preserve">In the sidebar, click QA Validation.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2:  </w:t>
      </w:r>
      <w:r>
        <w:rPr>
          <w:color w:val="201F1E"/>
          <w:sz w:val="22"/>
          <w:szCs w:val="22"/>
        </w:rPr>
        <w:t xml:space="preserve">The Pending tab is selected by default — these are sales awaiting review.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3:  </w:t>
      </w:r>
      <w:r>
        <w:rPr>
          <w:color w:val="201F1E"/>
          <w:sz w:val="22"/>
          <w:szCs w:val="22"/>
        </w:rPr>
        <w:t xml:space="preserve">Click a sale row to open its detail view.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4:  </w:t>
      </w:r>
      <w:r>
        <w:rPr>
          <w:color w:val="201F1E"/>
          <w:sz w:val="22"/>
          <w:szCs w:val="22"/>
        </w:rPr>
        <w:t xml:space="preserve">Verify: client consent, correct premium, valid ID number, welcome pack sent, e-signature obtained.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5:  </w:t>
      </w:r>
      <w:r>
        <w:rPr>
          <w:color w:val="201F1E"/>
          <w:sz w:val="22"/>
          <w:szCs w:val="22"/>
        </w:rPr>
        <w:t xml:space="preserve">Click SUBMIT to pass the sale to export. Click REPAIR to send it back for correction. Click CANCEL to stop the sale.</w:t>
      </w:r>
    </w:p>
    <w:p>
      <w:pPr>
        <w:spacing w:after="80" w:before="0"/>
      </w:pPr>
    </w:p>
    <w:p>
      <w:pPr>
        <w:pStyle w:val="Heading2"/>
        <w:spacing w:after="120" w:before="300"/>
      </w:pPr>
      <w:r>
        <w:t xml:space="preserve">9.3  QA Flow Summary</w:t>
      </w:r>
    </w:p>
    <w:p>
      <w:pPr>
        <w:spacing w:after="60" w:before="60"/>
      </w:pPr>
      <w:r>
        <w:rPr>
          <w:color w:val="201F1E"/>
          <w:sz w:val="22"/>
          <w:szCs w:val="22"/>
        </w:rPr>
        <w:t xml:space="preserve">FoxPro QA flow: SUBMIT sends a sale to export, REPAIR keeps it in operations for correction, CANCEL stops the sale before collection.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Pending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Sales waiting for QA review.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Passed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Sales that passed QA — exported or queued for export.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Repair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Sales sent back to agent for correction.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Failed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Sales that failed QA and were cancelled.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All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Every sale regardless of QA status.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0078D4" w:sz="6" w:space="6"/>
        </w:pBdr>
        <w:spacing w:after="200" w:before="400"/>
      </w:pPr>
      <w:r>
        <w:t xml:space="preserve">10. Messaging Centre (SMS &amp; WhatsApp)</w:t>
      </w:r>
    </w:p>
    <w:p>
      <w:pPr>
        <w:pBdr>
          <w:top w:val="single" w:color="F3F2F1" w:sz="3"/>
          <w:bottom w:val="single" w:color="F3F2F1" w:sz="3"/>
        </w:pBdr>
        <w:spacing w:after="40" w:before="10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05E5C"/>
          <w:sz w:val="18"/>
          <w:szCs w:val="18"/>
        </w:rPr>
        <w:t xml:space="preserve">Figure 10.1 — Messaging Centre with WhatsApp, SMS Compose, Bulk SMS, and History tabs</w:t>
      </w:r>
    </w:p>
    <w:p>
      <w:pPr>
        <w:pStyle w:val="Heading2"/>
        <w:spacing w:after="120" w:before="300"/>
      </w:pPr>
      <w:r>
        <w:t xml:space="preserve">10.1  Overview</w:t>
      </w:r>
    </w:p>
    <w:p>
      <w:pPr>
        <w:spacing w:after="60" w:before="60"/>
      </w:pPr>
      <w:r>
        <w:rPr>
          <w:color w:val="201F1E"/>
          <w:sz w:val="22"/>
          <w:szCs w:val="22"/>
        </w:rPr>
        <w:t xml:space="preserve">The Messaging Centre has four tabs: WhatsApp, SMS Compose, Bulk SMS, and History. It handles both WhatsApp messages (via UltraMsg) and standard SMS (via SMS Portal).</w:t>
      </w:r>
    </w:p>
    <w:p>
      <w:pPr>
        <w:spacing w:after="80" w:before="0"/>
      </w:pPr>
    </w:p>
    <w:p>
      <w:pPr>
        <w:pStyle w:val="Heading2"/>
        <w:spacing w:after="120" w:before="300"/>
      </w:pPr>
      <w:r>
        <w:t xml:space="preserve">10.2  Sending a WhatsApp Message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1:  </w:t>
      </w:r>
      <w:r>
        <w:rPr>
          <w:color w:val="201F1E"/>
          <w:sz w:val="22"/>
          <w:szCs w:val="22"/>
        </w:rPr>
        <w:t xml:space="preserve">Click SMS Centre in the sidebar.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2:  </w:t>
      </w:r>
      <w:r>
        <w:rPr>
          <w:color w:val="201F1E"/>
          <w:sz w:val="22"/>
          <w:szCs w:val="22"/>
        </w:rPr>
        <w:t xml:space="preserve">The WhatsApp tab is selected by default.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3:  </w:t>
      </w:r>
      <w:r>
        <w:rPr>
          <w:color w:val="201F1E"/>
          <w:sz w:val="22"/>
          <w:szCs w:val="22"/>
        </w:rPr>
        <w:t xml:space="preserve">Click a message template from the list (e.g. Become an Ambassador).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4:  </w:t>
      </w:r>
      <w:r>
        <w:rPr>
          <w:color w:val="201F1E"/>
          <w:sz w:val="22"/>
          <w:szCs w:val="22"/>
        </w:rPr>
        <w:t xml:space="preserve">Enter the recipient WhatsApp number in the field at the bottom.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5:  </w:t>
      </w:r>
      <w:r>
        <w:rPr>
          <w:color w:val="201F1E"/>
          <w:sz w:val="22"/>
          <w:szCs w:val="22"/>
        </w:rPr>
        <w:t xml:space="preserve">The MESSAGE PREVIEW panel on the right shows exactly what will be sent.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6:  </w:t>
      </w:r>
      <w:r>
        <w:rPr>
          <w:color w:val="201F1E"/>
          <w:sz w:val="22"/>
          <w:szCs w:val="22"/>
        </w:rPr>
        <w:t xml:space="preserve">Click Send.</w:t>
      </w:r>
    </w:p>
    <w:p>
      <w:pPr>
        <w:pBdr>
          <w:left w:val="thick" w:color="0078D4" w:sz="12" w:space="8"/>
        </w:pBdr>
        <w:shd w:fill="EFF6FC" w:val="clear"/>
        <w:spacing w:after="80" w:before="80"/>
        <w:ind w:left="360"/>
      </w:pPr>
      <w:r>
        <w:rPr>
          <w:b/>
          <w:bCs/>
          <w:color w:val="003E6B"/>
          <w:sz w:val="20"/>
          <w:szCs w:val="20"/>
        </w:rPr>
        <w:t xml:space="preserve">  NOTE:  </w:t>
      </w:r>
      <w:r>
        <w:rPr>
          <w:color w:val="605E5C"/>
          <w:sz w:val="20"/>
          <w:szCs w:val="20"/>
        </w:rPr>
        <w:t xml:space="preserve">If you see 'UltraMsg not connected', the WhatsApp integration needs to be configured in Integrations. See Chapter 14.</w:t>
      </w:r>
    </w:p>
    <w:p>
      <w:pPr>
        <w:spacing w:after="80" w:before="0"/>
      </w:pPr>
    </w:p>
    <w:p>
      <w:pPr>
        <w:pStyle w:val="Heading2"/>
        <w:spacing w:after="120" w:before="300"/>
      </w:pPr>
      <w:r>
        <w:t xml:space="preserve">10.3  Sending an SMS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1:  </w:t>
      </w:r>
      <w:r>
        <w:rPr>
          <w:color w:val="201F1E"/>
          <w:sz w:val="22"/>
          <w:szCs w:val="22"/>
        </w:rPr>
        <w:t xml:space="preserve">Click the SMS Compose tab.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2:  </w:t>
      </w:r>
      <w:r>
        <w:rPr>
          <w:color w:val="201F1E"/>
          <w:sz w:val="22"/>
          <w:szCs w:val="22"/>
        </w:rPr>
        <w:t xml:space="preserve">Enter or search for the recipient (client or ambassador).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3:  </w:t>
      </w:r>
      <w:r>
        <w:rPr>
          <w:color w:val="201F1E"/>
          <w:sz w:val="22"/>
          <w:szCs w:val="22"/>
        </w:rPr>
        <w:t xml:space="preserve">Type your message (160 characters per SMS segment).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4:  </w:t>
      </w:r>
      <w:r>
        <w:rPr>
          <w:color w:val="201F1E"/>
          <w:sz w:val="22"/>
          <w:szCs w:val="22"/>
        </w:rPr>
        <w:t xml:space="preserve">Click Send SMS.</w:t>
      </w:r>
    </w:p>
    <w:p>
      <w:pPr>
        <w:spacing w:after="80" w:before="0"/>
      </w:pPr>
    </w:p>
    <w:p>
      <w:pPr>
        <w:pStyle w:val="Heading2"/>
        <w:spacing w:after="120" w:before="300"/>
      </w:pPr>
      <w:r>
        <w:t xml:space="preserve">10.4  Bulk SMS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1:  </w:t>
      </w:r>
      <w:r>
        <w:rPr>
          <w:color w:val="201F1E"/>
          <w:sz w:val="22"/>
          <w:szCs w:val="22"/>
        </w:rPr>
        <w:t xml:space="preserve">Click the Bulk SMS tab.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2:  </w:t>
      </w:r>
      <w:r>
        <w:rPr>
          <w:color w:val="201F1E"/>
          <w:sz w:val="22"/>
          <w:szCs w:val="22"/>
        </w:rPr>
        <w:t xml:space="preserve">Choose the recipient group: All Active Clients, Lapsed Clients, All Ambassadors, or Custom CSV.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3:  </w:t>
      </w:r>
      <w:r>
        <w:rPr>
          <w:color w:val="201F1E"/>
          <w:sz w:val="22"/>
          <w:szCs w:val="22"/>
        </w:rPr>
        <w:t xml:space="preserve">Type your message template. Use {firstName} to personalise.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4:  </w:t>
      </w:r>
      <w:r>
        <w:rPr>
          <w:color w:val="201F1E"/>
          <w:sz w:val="22"/>
          <w:szCs w:val="22"/>
        </w:rPr>
        <w:t xml:space="preserve">Click Send Bulk SMS. Monitor progress in the History tab.</w:t>
      </w:r>
    </w:p>
    <w:p>
      <w:pPr>
        <w:pageBreakBefore/>
      </w:pPr>
    </w:p>
    <w:p>
      <w:pPr>
        <w:pStyle w:val="Heading1"/>
        <w:pBdr>
          <w:bottom w:val="single" w:color="0078D4" w:sz="6" w:space="6"/>
        </w:pBdr>
        <w:spacing w:after="200" w:before="400"/>
      </w:pPr>
      <w:r>
        <w:t xml:space="preserve">11. Products Catalogue</w:t>
      </w:r>
    </w:p>
    <w:p>
      <w:pPr>
        <w:pBdr>
          <w:top w:val="single" w:color="F3F2F1" w:sz="3"/>
          <w:bottom w:val="single" w:color="F3F2F1" w:sz="3"/>
        </w:pBdr>
        <w:spacing w:after="40" w:before="10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05E5C"/>
          <w:sz w:val="18"/>
          <w:szCs w:val="18"/>
        </w:rPr>
        <w:t xml:space="preserve">Figure 11.1 — Products page with Add Product button</w:t>
      </w:r>
    </w:p>
    <w:p>
      <w:pPr>
        <w:pStyle w:val="Heading2"/>
        <w:spacing w:after="120" w:before="300"/>
      </w:pPr>
      <w:r>
        <w:t xml:space="preserve">11.1  Viewing Products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1:  </w:t>
      </w:r>
      <w:r>
        <w:rPr>
          <w:color w:val="201F1E"/>
          <w:sz w:val="22"/>
          <w:szCs w:val="22"/>
        </w:rPr>
        <w:t xml:space="preserve">In the sidebar, navigate to Products.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2:  </w:t>
      </w:r>
      <w:r>
        <w:rPr>
          <w:color w:val="201F1E"/>
          <w:sz w:val="22"/>
          <w:szCs w:val="22"/>
        </w:rPr>
        <w:t xml:space="preserve">The table lists all available insurance products with type, premium amount, and status.</w:t>
      </w:r>
    </w:p>
    <w:p>
      <w:pPr>
        <w:spacing w:after="80" w:before="0"/>
      </w:pPr>
    </w:p>
    <w:p>
      <w:pPr>
        <w:pStyle w:val="Heading2"/>
        <w:spacing w:after="120" w:before="300"/>
      </w:pPr>
      <w:r>
        <w:t xml:space="preserve">11.2  Adding a New Product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1:  </w:t>
      </w:r>
      <w:r>
        <w:rPr>
          <w:color w:val="201F1E"/>
          <w:sz w:val="22"/>
          <w:szCs w:val="22"/>
        </w:rPr>
        <w:t xml:space="preserve">Click + Add Product (top right).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2:  </w:t>
      </w:r>
      <w:r>
        <w:rPr>
          <w:color w:val="201F1E"/>
          <w:sz w:val="22"/>
          <w:szCs w:val="22"/>
        </w:rPr>
        <w:t xml:space="preserve">Enter: Name, Type (Life Cover, Legal, SOS, Five-in-One, Short Term, Consult), Description, Base Premium.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3:  </w:t>
      </w:r>
      <w:r>
        <w:rPr>
          <w:color w:val="201F1E"/>
          <w:sz w:val="22"/>
          <w:szCs w:val="22"/>
        </w:rPr>
        <w:t xml:space="preserve">Add premium tiers if the product has multiple levels (Bronze/Silver/Gold).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4:  </w:t>
      </w:r>
      <w:r>
        <w:rPr>
          <w:color w:val="201F1E"/>
          <w:sz w:val="22"/>
          <w:szCs w:val="22"/>
        </w:rPr>
        <w:t xml:space="preserve">Click Save Product.</w:t>
      </w:r>
    </w:p>
    <w:p>
      <w:pPr>
        <w:pBdr>
          <w:left w:val="thick" w:color="A4262C" w:sz="12" w:space="8"/>
        </w:pBdr>
        <w:shd w:fill="FDF3F4" w:val="clear"/>
        <w:spacing w:after="80" w:before="80"/>
        <w:ind w:left="360"/>
      </w:pPr>
      <w:r>
        <w:rPr>
          <w:b/>
          <w:bCs/>
          <w:color w:val="A4262C"/>
          <w:sz w:val="20"/>
          <w:szCs w:val="20"/>
        </w:rPr>
        <w:t xml:space="preserve">  WARNING:  </w:t>
      </w:r>
      <w:r>
        <w:rPr>
          <w:color w:val="605E5C"/>
          <w:sz w:val="20"/>
          <w:szCs w:val="20"/>
        </w:rPr>
        <w:t xml:space="preserve">Changing a product's premium does NOT update existing active policies. Use the Premium Changes function for each affected policy.</w:t>
      </w:r>
    </w:p>
    <w:p>
      <w:pPr>
        <w:pageBreakBefore/>
      </w:pPr>
    </w:p>
    <w:p>
      <w:pPr>
        <w:pStyle w:val="Heading1"/>
        <w:pBdr>
          <w:bottom w:val="single" w:color="0078D4" w:sz="6" w:space="6"/>
        </w:pBdr>
        <w:spacing w:after="200" w:before="400"/>
      </w:pPr>
      <w:r>
        <w:t xml:space="preserve">12. AI Agents</w:t>
      </w:r>
    </w:p>
    <w:p>
      <w:pPr>
        <w:pBdr>
          <w:top w:val="single" w:color="F3F2F1" w:sz="3"/>
          <w:bottom w:val="single" w:color="F3F2F1" w:sz="3"/>
        </w:pBdr>
        <w:spacing w:after="40" w:before="10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05E5C"/>
          <w:sz w:val="18"/>
          <w:szCs w:val="18"/>
        </w:rPr>
        <w:t xml:space="preserve">Figure 12.1 — AI Agents page showing all automation agents</w:t>
      </w:r>
    </w:p>
    <w:p>
      <w:pPr>
        <w:pStyle w:val="Heading2"/>
        <w:spacing w:after="120" w:before="300"/>
      </w:pPr>
      <w:r>
        <w:t xml:space="preserve">12.1  What Are AI Agents?</w:t>
      </w:r>
    </w:p>
    <w:p>
      <w:pPr>
        <w:spacing w:after="60" w:before="60"/>
      </w:pPr>
      <w:r>
        <w:rPr>
          <w:color w:val="201F1E"/>
          <w:sz w:val="22"/>
          <w:szCs w:val="22"/>
        </w:rPr>
        <w:t xml:space="preserve">AI Agents are automated processes that run routine tasks without human input. They can be triggered manually or scheduled to run at set times.</w:t>
      </w:r>
    </w:p>
    <w:p>
      <w:pPr>
        <w:spacing w:after="80" w:before="0"/>
      </w:pPr>
    </w:p>
    <w:p>
      <w:pPr>
        <w:pStyle w:val="Heading2"/>
        <w:spacing w:after="120" w:before="300"/>
      </w:pPr>
      <w:r>
        <w:t xml:space="preserve">12.2  Available Agents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Lead Scorer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Scores each lead 1–100 based on province, product match, and contact quality.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QA Auto Checker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Pre-screens sales for data completeness before the human QA review.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Commission Calculator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Recalculates all pending commissions in bulk.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SMS Dispatcher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Sends queued bulk SMS batches.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Welcome Pack Sender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Sends welcome packs to newly activated clients.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Debit Order Reconciler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Matches NetCash payment returns to client policy records.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00"/>
      </w:pPr>
      <w:r>
        <w:t xml:space="preserve">12.3  Running an Agent Manually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1:  </w:t>
      </w:r>
      <w:r>
        <w:rPr>
          <w:color w:val="201F1E"/>
          <w:sz w:val="22"/>
          <w:szCs w:val="22"/>
        </w:rPr>
        <w:t xml:space="preserve">In the sidebar, click AI Agents.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2:  </w:t>
      </w:r>
      <w:r>
        <w:rPr>
          <w:color w:val="201F1E"/>
          <w:sz w:val="22"/>
          <w:szCs w:val="22"/>
        </w:rPr>
        <w:t xml:space="preserve">Find the agent you want to run.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3:  </w:t>
      </w:r>
      <w:r>
        <w:rPr>
          <w:color w:val="201F1E"/>
          <w:sz w:val="22"/>
          <w:szCs w:val="22"/>
        </w:rPr>
        <w:t xml:space="preserve">Click the Run button next to it.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4:  </w:t>
      </w:r>
      <w:r>
        <w:rPr>
          <w:color w:val="201F1E"/>
          <w:sz w:val="22"/>
          <w:szCs w:val="22"/>
        </w:rPr>
        <w:t xml:space="preserve">A progress indicator appears. When done, the Last Run timestamp updates and a summary is shown.</w:t>
      </w:r>
    </w:p>
    <w:p>
      <w:pPr>
        <w:pageBreakBefore/>
      </w:pPr>
    </w:p>
    <w:p>
      <w:pPr>
        <w:pStyle w:val="Heading1"/>
        <w:pBdr>
          <w:bottom w:val="single" w:color="0078D4" w:sz="6" w:space="6"/>
        </w:pBdr>
        <w:spacing w:after="200" w:before="400"/>
      </w:pPr>
      <w:r>
        <w:t xml:space="preserve">13. Workflow Management</w:t>
      </w:r>
    </w:p>
    <w:p>
      <w:pPr>
        <w:pBdr>
          <w:top w:val="single" w:color="F3F2F1" w:sz="3"/>
          <w:bottom w:val="single" w:color="F3F2F1" w:sz="3"/>
        </w:pBdr>
        <w:spacing w:after="40" w:before="10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05E5C"/>
          <w:sz w:val="18"/>
          <w:szCs w:val="18"/>
        </w:rPr>
        <w:t xml:space="preserve">Figure 13.1 — Workflows page showing templates and running instances</w:t>
      </w:r>
    </w:p>
    <w:p>
      <w:pPr>
        <w:pStyle w:val="Heading2"/>
        <w:spacing w:after="120" w:before="300"/>
      </w:pPr>
      <w:r>
        <w:t xml:space="preserve">13.1  Overview</w:t>
      </w:r>
    </w:p>
    <w:p>
      <w:pPr>
        <w:spacing w:after="60" w:before="60"/>
      </w:pPr>
      <w:r>
        <w:rPr>
          <w:color w:val="201F1E"/>
          <w:sz w:val="22"/>
          <w:szCs w:val="22"/>
        </w:rPr>
        <w:t xml:space="preserve">The Workflow Engine lets admins build automated multi-step processes without writing code. The page shows KPI cards at the top (Active Workflows, Running Instances, Completed Today, Failed/Pending), followed by Workflow Templates and a live Instances table.</w:t>
      </w:r>
    </w:p>
    <w:p>
      <w:pPr>
        <w:spacing w:after="80" w:before="0"/>
      </w:pPr>
    </w:p>
    <w:p>
      <w:pPr>
        <w:pStyle w:val="Heading2"/>
        <w:spacing w:after="120" w:before="300"/>
      </w:pPr>
      <w:r>
        <w:t xml:space="preserve">13.2  Pre-Built Templates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New Client Onboarding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ON CREATE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5 steps — Active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Payment Failed Recovery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ON UPDATE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4 steps — Active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QA Auto-Review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ON CREATE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2 steps — Inactive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00"/>
      </w:pPr>
      <w:r>
        <w:t xml:space="preserve">13.3  Creating a Workflow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1:  </w:t>
      </w:r>
      <w:r>
        <w:rPr>
          <w:color w:val="201F1E"/>
          <w:sz w:val="22"/>
          <w:szCs w:val="22"/>
        </w:rPr>
        <w:t xml:space="preserve">Click + Create Workflow (top right).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2:  </w:t>
      </w:r>
      <w:r>
        <w:rPr>
          <w:color w:val="201F1E"/>
          <w:sz w:val="22"/>
          <w:szCs w:val="22"/>
        </w:rPr>
        <w:t xml:space="preserve">Enter a name and description.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3:  </w:t>
      </w:r>
      <w:r>
        <w:rPr>
          <w:color w:val="201F1E"/>
          <w:sz w:val="22"/>
          <w:szCs w:val="22"/>
        </w:rPr>
        <w:t xml:space="preserve">Add steps using + Add Step.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4:  </w:t>
      </w:r>
      <w:r>
        <w:rPr>
          <w:color w:val="201F1E"/>
          <w:sz w:val="22"/>
          <w:szCs w:val="22"/>
        </w:rPr>
        <w:t xml:space="preserve">For each step, set the Step Type (SMS, API call, Manual review) and conditions.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5:  </w:t>
      </w:r>
      <w:r>
        <w:rPr>
          <w:color w:val="201F1E"/>
          <w:sz w:val="22"/>
          <w:szCs w:val="22"/>
        </w:rPr>
        <w:t xml:space="preserve">Save as Draft, then click Activate to go live.</w:t>
      </w:r>
    </w:p>
    <w:p>
      <w:pPr>
        <w:spacing w:after="80" w:before="0"/>
      </w:pPr>
    </w:p>
    <w:p>
      <w:pPr>
        <w:pStyle w:val="Heading2"/>
        <w:spacing w:after="120" w:before="300"/>
      </w:pPr>
      <w:r>
        <w:t xml:space="preserve">13.4  Monitoring Running Instances</w:t>
      </w:r>
    </w:p>
    <w:p>
      <w:pPr>
        <w:spacing w:after="60" w:before="60"/>
      </w:pPr>
      <w:r>
        <w:rPr>
          <w:color w:val="201F1E"/>
          <w:sz w:val="22"/>
          <w:szCs w:val="22"/>
        </w:rPr>
        <w:t xml:space="preserve">The Workflow Instances table (bottom of the page) shows every active run: Instance #, Workflow name, Entity, current Step, Status, Started time, and action buttons (View, Retry). Click View to see the full step-by-step execution log.</w:t>
      </w:r>
    </w:p>
    <w:p>
      <w:pPr>
        <w:pageBreakBefore/>
      </w:pPr>
    </w:p>
    <w:p>
      <w:pPr>
        <w:pStyle w:val="Heading1"/>
        <w:pBdr>
          <w:bottom w:val="single" w:color="0078D4" w:sz="6" w:space="6"/>
        </w:pBdr>
        <w:spacing w:after="200" w:before="400"/>
      </w:pPr>
      <w:r>
        <w:t xml:space="preserve">14. Integrations</w:t>
      </w:r>
    </w:p>
    <w:p>
      <w:pPr>
        <w:pBdr>
          <w:top w:val="single" w:color="F3F2F1" w:sz="3"/>
          <w:bottom w:val="single" w:color="F3F2F1" w:sz="3"/>
        </w:pBdr>
        <w:spacing w:after="40" w:before="10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605E5C"/>
          <w:sz w:val="18"/>
          <w:szCs w:val="18"/>
        </w:rPr>
        <w:t xml:space="preserve">Figure 14.1 — Integrations page showing QLink, SagePay, NetCash, SMS Portal, ViciDialer, Guard Risk</w:t>
      </w:r>
    </w:p>
    <w:p>
      <w:pPr>
        <w:pStyle w:val="Heading2"/>
        <w:spacing w:after="120" w:before="300"/>
      </w:pPr>
      <w:r>
        <w:t xml:space="preserve">14.1  Overview</w:t>
      </w:r>
    </w:p>
    <w:p>
      <w:pPr>
        <w:spacing w:after="60" w:before="60"/>
      </w:pPr>
      <w:r>
        <w:rPr>
          <w:color w:val="201F1E"/>
          <w:sz w:val="22"/>
          <w:szCs w:val="22"/>
        </w:rPr>
        <w:t xml:space="preserve">The Integrations page connects AmbassadorC v5 to third-party payment, communication, and underwriting services. Each integration card shows its current status (Active / Inactive) and the last sync time.</w:t>
      </w:r>
    </w:p>
    <w:p>
      <w:pPr>
        <w:spacing w:after="80" w:before="0"/>
      </w:pPr>
    </w:p>
    <w:p>
      <w:pPr>
        <w:pStyle w:val="Heading2"/>
        <w:spacing w:after="120" w:before="300"/>
      </w:pPr>
      <w:r>
        <w:t xml:space="preserve">14.2  Configured Integrations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Actions Available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QLink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Government payroll deductions (public sector clients).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Export Batch, View Batches, Test, Configure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SagePay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Card payment processing.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Sync Transactions, Validate Bank Account, Test, Configure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Netcash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Debit order collection.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Validate Account, Get Bank List, Test, Configure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SMS Portal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Bulk SMS messaging.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Test, Configure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ViciDialer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Outbound call centre campaigns.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Test, Configure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Guard Risk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Insurance underwriting.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Test, Configure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00"/>
      </w:pPr>
      <w:r>
        <w:t xml:space="preserve">14.3  Configuring an Integration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1:  </w:t>
      </w:r>
      <w:r>
        <w:rPr>
          <w:color w:val="201F1E"/>
          <w:sz w:val="22"/>
          <w:szCs w:val="22"/>
        </w:rPr>
        <w:t xml:space="preserve">Find the integration card.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2:  </w:t>
      </w:r>
      <w:r>
        <w:rPr>
          <w:color w:val="201F1E"/>
          <w:sz w:val="22"/>
          <w:szCs w:val="22"/>
        </w:rPr>
        <w:t xml:space="preserve">Click Configure.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3:  </w:t>
      </w:r>
      <w:r>
        <w:rPr>
          <w:color w:val="201F1E"/>
          <w:sz w:val="22"/>
          <w:szCs w:val="22"/>
        </w:rPr>
        <w:t xml:space="preserve">Enter the required API credentials (keys, passwords, merchant IDs).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4:  </w:t>
      </w:r>
      <w:r>
        <w:rPr>
          <w:color w:val="201F1E"/>
          <w:sz w:val="22"/>
          <w:szCs w:val="22"/>
        </w:rPr>
        <w:t xml:space="preserve">Click Save.</w:t>
      </w:r>
    </w:p>
    <w:p>
      <w:pPr>
        <w:spacing w:after="40" w:before="80"/>
        <w:ind w:left="360"/>
      </w:pPr>
      <w:r>
        <w:rPr>
          <w:b/>
          <w:bCs/>
          <w:color w:val="0078D4"/>
          <w:sz w:val="22"/>
          <w:szCs w:val="22"/>
        </w:rPr>
        <w:t xml:space="preserve">Step 5:  </w:t>
      </w:r>
      <w:r>
        <w:rPr>
          <w:color w:val="201F1E"/>
          <w:sz w:val="22"/>
          <w:szCs w:val="22"/>
        </w:rPr>
        <w:t xml:space="preserve">Click Test to verify the connection is working.</w:t>
      </w:r>
    </w:p>
    <w:p>
      <w:pPr>
        <w:pBdr>
          <w:left w:val="thick" w:color="A4262C" w:sz="12" w:space="8"/>
        </w:pBdr>
        <w:shd w:fill="FDF3F4" w:val="clear"/>
        <w:spacing w:after="80" w:before="80"/>
        <w:ind w:left="360"/>
      </w:pPr>
      <w:r>
        <w:rPr>
          <w:b/>
          <w:bCs/>
          <w:color w:val="A4262C"/>
          <w:sz w:val="20"/>
          <w:szCs w:val="20"/>
        </w:rPr>
        <w:t xml:space="preserve">  WARNING:  </w:t>
      </w:r>
      <w:r>
        <w:rPr>
          <w:color w:val="605E5C"/>
          <w:sz w:val="20"/>
          <w:szCs w:val="20"/>
        </w:rPr>
        <w:t xml:space="preserve">Never share API keys or credentials. All credentials are stored encrypted.</w:t>
      </w:r>
    </w:p>
    <w:p>
      <w:pPr>
        <w:pageBreakBefore/>
      </w:pPr>
    </w:p>
    <w:p>
      <w:pPr>
        <w:pStyle w:val="Heading1"/>
        <w:pBdr>
          <w:bottom w:val="single" w:color="0078D4" w:sz="6" w:space="6"/>
        </w:pBdr>
        <w:spacing w:after="200" w:before="400"/>
      </w:pPr>
      <w:r>
        <w:t xml:space="preserve">15. Quick Reference &amp; Tips</w:t>
      </w:r>
    </w:p>
    <w:p>
      <w:pPr>
        <w:pStyle w:val="Heading2"/>
        <w:spacing w:after="120" w:before="300"/>
      </w:pPr>
      <w:r>
        <w:t xml:space="preserve">15.1  Global Search</w:t>
      </w:r>
    </w:p>
    <w:p>
      <w:pPr>
        <w:spacing w:after="60" w:before="60"/>
      </w:pPr>
      <w:r>
        <w:rPr>
          <w:color w:val="201F1E"/>
          <w:sz w:val="22"/>
          <w:szCs w:val="22"/>
        </w:rPr>
        <w:t xml:space="preserve">Press Ctrl+K (Windows) or Cmd+K (Mac) anywhere in the app to open the global search bar. Type a client name, policy number, or lead name to jump directly to that record.</w:t>
      </w:r>
    </w:p>
    <w:p>
      <w:pPr>
        <w:spacing w:after="80" w:before="0"/>
      </w:pPr>
    </w:p>
    <w:p>
      <w:pPr>
        <w:pStyle w:val="Heading2"/>
        <w:spacing w:after="120" w:before="300"/>
      </w:pPr>
      <w:r>
        <w:t xml:space="preserve">15.2  Status Colour Guide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Colour / Badge</w:t>
            </w:r>
          </w:p>
        </w:tc>
        <w:tc>
          <w:tcPr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Blue dot (sidebar)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New item — requires attention.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Green — ACTIVE / PASSED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Record is live and in good standing.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Orange — PENDING / ASSIGNED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Action required — in progress.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Red — FAILED / CANCELLED / REJECTED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Issue — needs investigation or write-off.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Grey — INACTIVE / CLOSED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Record archived or deactivated.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00"/>
      </w:pPr>
      <w:r>
        <w:t xml:space="preserve">15.3  Common Tasks — Quick Steps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to Go</w:t>
            </w:r>
          </w:p>
        </w:tc>
        <w:tc>
          <w:tcPr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Button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Assign a lead to an agent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Lead Dialler (Admin) → Unassigned Leads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Assign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Approve a QA check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QA Validation → Pending tab → click sale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SUBMIT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Send a WhatsApp to an agent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SMS Centre → WhatsApp tab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Send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Run commission recalculation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AI Agents → Commission Calculator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Run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Export client list to CSV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Client Records → Export button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Export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Check workflow run history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Workflows → Instances table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View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Test an integration connection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Integrations → card → Test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Test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Add a new insurance product</w:t>
            </w:r>
          </w:p>
        </w:tc>
        <w:tc>
          <w:tcPr>
            <w:shd w:fill="F3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Products → + Add Product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1F1E"/>
                <w:sz w:val="20"/>
                <w:szCs w:val="20"/>
              </w:rPr>
              <w:t xml:space="preserve">Save Product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00"/>
      </w:pPr>
      <w:r>
        <w:t xml:space="preserve">15.4  Frequently Asked Questions</w:t>
      </w:r>
    </w:p>
    <w:p>
      <w:pPr>
        <w:pStyle w:val="Heading3"/>
        <w:spacing w:after="80" w:before="200"/>
      </w:pPr>
      <w:r>
        <w:t xml:space="preserve">Q: I cannot log in — what do I do?</w:t>
      </w:r>
    </w:p>
    <w:p>
      <w:pPr>
        <w:spacing w:after="60" w:before="60"/>
      </w:pPr>
      <w:r>
        <w:rPr>
          <w:color w:val="201F1E"/>
          <w:sz w:val="22"/>
          <w:szCs w:val="22"/>
        </w:rPr>
        <w:t xml:space="preserve">Check that you are using your mobile number (not email) as your username. Contact your administrator to reset your password.</w:t>
      </w:r>
    </w:p>
    <w:p>
      <w:pPr>
        <w:pStyle w:val="Heading3"/>
        <w:spacing w:after="80" w:before="200"/>
      </w:pPr>
      <w:r>
        <w:t xml:space="preserve">Q: Why did my commission not appear?</w:t>
      </w:r>
    </w:p>
    <w:p>
      <w:pPr>
        <w:spacing w:after="60" w:before="60"/>
      </w:pPr>
      <w:r>
        <w:rPr>
          <w:color w:val="201F1E"/>
          <w:sz w:val="22"/>
          <w:szCs w:val="22"/>
        </w:rPr>
        <w:t xml:space="preserve">Commissions only appear after a sale reaches QA_APPROVED or ACTIVE status — not just when a lead is marked as a sale. Wait for the QA step to be completed.</w:t>
      </w:r>
    </w:p>
    <w:p>
      <w:pPr>
        <w:pStyle w:val="Heading3"/>
        <w:spacing w:after="80" w:before="200"/>
      </w:pPr>
      <w:r>
        <w:t xml:space="preserve">Q: A client did not receive their welcome pack — what do I do?</w:t>
      </w:r>
    </w:p>
    <w:p>
      <w:pPr>
        <w:spacing w:after="60" w:before="60"/>
      </w:pPr>
      <w:r>
        <w:rPr>
          <w:color w:val="201F1E"/>
          <w:sz w:val="22"/>
          <w:szCs w:val="22"/>
        </w:rPr>
        <w:t xml:space="preserve">Go to AI Agents and manually run the Welcome Pack Sender agent for that client.</w:t>
      </w:r>
    </w:p>
    <w:p>
      <w:pPr>
        <w:pStyle w:val="Heading3"/>
        <w:spacing w:after="80" w:before="200"/>
      </w:pPr>
      <w:r>
        <w:t xml:space="preserve">Q: WhatsApp messages are not being sent — what should I check?</w:t>
      </w:r>
    </w:p>
    <w:p>
      <w:pPr>
        <w:spacing w:after="60" w:before="60"/>
      </w:pPr>
      <w:r>
        <w:rPr>
          <w:color w:val="201F1E"/>
          <w:sz w:val="22"/>
          <w:szCs w:val="22"/>
        </w:rPr>
        <w:t xml:space="preserve">Go to Integrations → UltraMsg. Check that the Instance ID and Token are saved and click Test. If it fails, contact UltraMsg support.</w:t>
      </w:r>
    </w:p>
    <w:p>
      <w:pPr>
        <w:pStyle w:val="Heading3"/>
        <w:spacing w:after="80" w:before="200"/>
      </w:pPr>
      <w:r>
        <w:t xml:space="preserve">Q: How do I generate a month-end commission report?</w:t>
      </w:r>
    </w:p>
    <w:p>
      <w:pPr>
        <w:spacing w:after="60" w:before="60"/>
      </w:pPr>
      <w:r>
        <w:rPr>
          <w:color w:val="201F1E"/>
          <w:sz w:val="22"/>
          <w:szCs w:val="22"/>
        </w:rPr>
        <w:t xml:space="preserve">Go to Commissions, filter by month using the date range, select All Agents or a specific ambassador, then click Export.</w:t>
      </w:r>
    </w:p>
    <w:sectPr>
      <w:headerReference w:type="default" r:id="rId7"/>
      <w:footerReference w:type="default" r:id="rId8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3F2F1" w:sz="3"/>
      </w:pBdr>
      <w:tabs>
        <w:tab w:val="right" w:pos="9000"/>
      </w:tabs>
    </w:pPr>
    <w:r>
      <w:rPr>
        <w:color w:val="605E5C"/>
        <w:sz w:val="18"/>
        <w:szCs w:val="18"/>
      </w:rPr>
      <w:t xml:space="preserve">Page </w:t>
    </w:r>
    <w:r>
      <w:rPr>
        <w:color w:val="605E5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05E5C"/>
        <w:sz w:val="18"/>
        <w:szCs w:val="18"/>
      </w:rPr>
      <w:t xml:space="preserve"> of </w:t>
    </w:r>
    <w:r>
      <w:rPr>
        <w:color w:val="605E5C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05E5C"/>
        <w:sz w:val="18"/>
        <w:szCs w:val="18"/>
      </w:rPr>
      <w:t xml:space="preserve">	© 2026 AmbassadorC — All Rights Reserved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3F2F1" w:sz="3"/>
      </w:pBdr>
      <w:tabs>
        <w:tab w:val="right" w:pos="9000"/>
      </w:tabs>
    </w:pPr>
    <w:r>
      <w:rPr>
        <w:color w:val="605E5C"/>
        <w:sz w:val="18"/>
        <w:szCs w:val="18"/>
      </w:rPr>
      <w:t xml:space="preserve">AmbassadorC v5 — Illustrated User Manual</w:t>
    </w:r>
    <w:r>
      <w:rPr>
        <w:sz w:val="18"/>
        <w:szCs w:val="18"/>
      </w:rPr>
      <w:t xml:space="preserve">	</w:t>
    </w:r>
    <w:r>
      <w:rPr>
        <w:b/>
        <w:bCs/>
        <w:color w:val="A4262C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01F1E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200" w:before="400"/>
    </w:pPr>
    <w:rPr>
      <w:rFonts w:ascii="Segoe UI" w:cs="Segoe UI" w:eastAsia="Segoe UI" w:hAnsi="Segoe UI"/>
      <w:b/>
      <w:bCs/>
      <w:color w:val="003E6B"/>
      <w:sz w:val="32"/>
      <w:szCs w:val="32"/>
    </w:rPr>
  </w:style>
  <w:style w:type="paragraph" w:styleId="Heading2">
    <w:name w:val="Heading 2"/>
    <w:basedOn w:val="Normal"/>
    <w:pPr>
      <w:spacing w:after="120" w:before="280"/>
    </w:pPr>
    <w:rPr>
      <w:rFonts w:ascii="Segoe UI" w:cs="Segoe UI" w:eastAsia="Segoe UI" w:hAnsi="Segoe UI"/>
      <w:b/>
      <w:bCs/>
      <w:color w:val="0078D4"/>
      <w:sz w:val="26"/>
      <w:szCs w:val="26"/>
    </w:rPr>
  </w:style>
  <w:style w:type="paragraph" w:styleId="Heading3">
    <w:name w:val="Heading 3"/>
    <w:basedOn w:val="Normal"/>
    <w:pPr>
      <w:spacing w:after="80" w:before="200"/>
    </w:pPr>
    <w:rPr>
      <w:rFonts w:ascii="Segoe UI" w:cs="Segoe UI" w:eastAsia="Segoe UI" w:hAnsi="Segoe UI"/>
      <w:b/>
      <w:bCs/>
      <w:color w:val="003E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2a95b3ef6b3f0079a4adb56c9fe3b761b2ec618.undefined"/><Relationship Id="rId10" Type="http://schemas.openxmlformats.org/officeDocument/2006/relationships/image" Target="media/95c87496a681979de82823a7560b846a2d1c3e31.undefined"/><Relationship Id="rId11" Type="http://schemas.openxmlformats.org/officeDocument/2006/relationships/image" Target="media/4d95034f766dce3536e70ed158d3e03ec3fbf810.undefined"/><Relationship Id="rId12" Type="http://schemas.openxmlformats.org/officeDocument/2006/relationships/image" Target="media/c5392614041c433c144280bb151ce59bce15729c.undefined"/><Relationship Id="rId13" Type="http://schemas.openxmlformats.org/officeDocument/2006/relationships/image" Target="media/1dd6ecfde7f29d36fce2a6de84bd8f8b932db237.undefined"/><Relationship Id="rId14" Type="http://schemas.openxmlformats.org/officeDocument/2006/relationships/image" Target="media/eb3239f8aa140206cebba296cfa737aaeff3312e.undefined"/><Relationship Id="rId15" Type="http://schemas.openxmlformats.org/officeDocument/2006/relationships/image" Target="media/c33c963f45bea0e5867a1af262f8a229f35b142b.undefined"/><Relationship Id="rId16" Type="http://schemas.openxmlformats.org/officeDocument/2006/relationships/image" Target="media/f5dd6e41193a429d83185590d59a25c0575c25b0.undefined"/><Relationship Id="rId17" Type="http://schemas.openxmlformats.org/officeDocument/2006/relationships/image" Target="media/aa06523543b48229fc87c4a732354c0208ed51ba.undefined"/><Relationship Id="rId18" Type="http://schemas.openxmlformats.org/officeDocument/2006/relationships/image" Target="media/6a6b9c30800ebed88111ec3e738504fc295613a4.undefined"/><Relationship Id="rId19" Type="http://schemas.openxmlformats.org/officeDocument/2006/relationships/image" Target="media/9aa656fc4c35a41a9a06b8a2f08c22717003c6c1.undefined"/><Relationship Id="rId20" Type="http://schemas.openxmlformats.org/officeDocument/2006/relationships/image" Target="media/71841176d4220b27efe809b1a2260dff732109e2.undefined"/><Relationship Id="rId21" Type="http://schemas.openxmlformats.org/officeDocument/2006/relationships/image" Target="media/99dfb1280f10f87d19cfe55f82a2a5b6c34cae22.undefined"/><Relationship Id="rId22" Type="http://schemas.openxmlformats.org/officeDocument/2006/relationships/image" Target="media/c8b0c7d5e9f3e4281f1f4429fc6fe4e27df856a0.undefined"/><Relationship Id="rId23" Type="http://schemas.openxmlformats.org/officeDocument/2006/relationships/image" Target="media/da9796fcf787ea257631eb297412d10692c232fd.undefined"/><Relationship Id="rId24" Type="http://schemas.openxmlformats.org/officeDocument/2006/relationships/image" Target="media/c0761f7124826d939ef2da972962ffd10bdf03c2.undefined"/><Relationship Id="rId25" Type="http://schemas.openxmlformats.org/officeDocument/2006/relationships/image" Target="media/2ca8d821568fae929c63c99da7ac8e639ddeb06a.undefined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2026-04-29T18:27:15.337Z</dcterms:created>
  <dcterms:modified xsi:type="dcterms:W3CDTF">2026-04-29T18:27:15.339Z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