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3A5F"/>
          <w:sz w:val="56"/>
        </w:rPr>
        <w:t>SAP Migrator</w:t>
      </w:r>
    </w:p>
    <w:p>
      <w:r>
        <w:rPr>
          <w:color w:val="6B7280"/>
          <w:sz w:val="26"/>
        </w:rPr>
        <w:t>Multi-Tenant SaaS for SAP S/4HANA Data Migration</w:t>
      </w:r>
    </w:p>
    <w:p>
      <w:r>
        <w:rPr>
          <w:i/>
          <w:color w:val="6B7280"/>
          <w:sz w:val="20"/>
        </w:rPr>
        <w:t>Project Status Report  ·  28 June 2026</w:t>
      </w:r>
    </w:p>
    <w:p>
      <w:r>
        <w:rPr>
          <w:b/>
          <w:sz w:val="20"/>
        </w:rPr>
        <w:t xml:space="preserve">Live: </w:t>
      </w:r>
      <w:r>
        <w:rPr>
          <w:sz w:val="20"/>
        </w:rPr>
        <w:t>https://sap-migrator-5vybv.ondigitalocean.app</w:t>
      </w:r>
    </w:p>
    <w:p>
      <w:r>
        <w:rPr>
          <w:b/>
          <w:sz w:val="20"/>
        </w:rPr>
        <w:t xml:space="preserve">Repository: </w:t>
      </w:r>
      <w:r>
        <w:rPr>
          <w:sz w:val="20"/>
        </w:rPr>
        <w:t>github.com/ZubeidHendricks/sap-migrator</w:t>
      </w:r>
      <w:r>
        <w:rPr>
          <w:sz w:val="20"/>
        </w:rPr>
        <w:t xml:space="preserve">   ·   Roadmap board: github.com/users/ZubeidHendricks/projects/3</w:t>
      </w:r>
    </w:p>
    <w:p>
      <w:pPr>
        <w:spacing w:before="280" w:after="120"/>
      </w:pPr>
      <w:r>
        <w:rPr>
          <w:b/>
          <w:color w:val="1E3A5F"/>
          <w:sz w:val="30"/>
        </w:rPr>
        <w:t>Executive Summary</w:t>
      </w:r>
    </w:p>
    <w:p>
      <w:pPr>
        <w:spacing w:after="120"/>
      </w:pPr>
      <w:r>
        <w:rPr>
          <w:i w:val="0"/>
          <w:sz w:val="21"/>
        </w:rPr>
        <w:t>SAP Migrator is a production, multi-tenant SaaS platform that manages the full lifecycle of SAP S/4HANA data migrations — and, uniquely, can also extract data back out of SAP into external databases. Companies prepare, validate, simulate, and track their migrations in one place instead of disconnected spreadsheets, with team management, audit trails, AI-assisted field mapping, and a public API for integrators.</w:t>
      </w:r>
    </w:p>
    <w:p>
      <w:pPr>
        <w:spacing w:after="120"/>
      </w:pPr>
      <w:r>
        <w:rPr>
          <w:i w:val="0"/>
          <w:sz w:val="21"/>
        </w:rPr>
        <w:t>The platform is built for corporate use (no billing — open access), fully deployed on DigitalOcean, covered by 132 automated tests with continuous integration, and verified end-to-end against the live production database.</w:t>
      </w:r>
    </w:p>
    <w:p>
      <w:pPr>
        <w:spacing w:before="200" w:after="120"/>
      </w:pPr>
      <w:r>
        <w:rPr>
          <w:b/>
          <w:color w:val="1E3A5F"/>
          <w:sz w:val="26"/>
        </w:rPr>
        <w:t>Platform Snapshot</w:t>
      </w:r>
    </w:p>
    <w:tbl>
      <w:tblPr>
        <w:tblStyle w:val="TableGrid"/>
        <w:tblW w:type="auto" w:w="0"/>
        <w:jc w:val="left"/>
        <w:tblLook w:firstColumn="1" w:firstRow="1" w:lastColumn="0" w:lastRow="0" w:noHBand="0" w:noVBand="1" w:val="04A0"/>
      </w:tblPr>
      <w:tblGrid>
        <w:gridCol w:w="4320"/>
        <w:gridCol w:w="4320"/>
      </w:tblGrid>
      <w:tr>
        <w:tc>
          <w:tcPr>
            <w:tcW w:type="dxa" w:w="2880"/>
            <w:shd w:val="clear" w:color="auto" w:fill="1E3A5F"/>
          </w:tcPr>
          <w:p>
            <w:r/>
            <w:r>
              <w:rPr>
                <w:b/>
                <w:color w:val="FFFFFF"/>
                <w:sz w:val="19"/>
              </w:rPr>
              <w:t>Metric</w:t>
            </w:r>
          </w:p>
        </w:tc>
        <w:tc>
          <w:tcPr>
            <w:tcW w:type="dxa" w:w="6480"/>
            <w:shd w:val="clear" w:color="auto" w:fill="1E3A5F"/>
          </w:tcPr>
          <w:p>
            <w:r/>
            <w:r>
              <w:rPr>
                <w:b/>
                <w:color w:val="FFFFFF"/>
                <w:sz w:val="19"/>
              </w:rPr>
              <w:t>Status</w:t>
            </w:r>
          </w:p>
        </w:tc>
      </w:tr>
      <w:tr>
        <w:tc>
          <w:tcPr>
            <w:tcW w:type="dxa" w:w="2880"/>
          </w:tcPr>
          <w:p>
            <w:r/>
            <w:r>
              <w:rPr>
                <w:b w:val="0"/>
                <w:sz w:val="19"/>
              </w:rPr>
              <w:t>Live environment</w:t>
            </w:r>
          </w:p>
        </w:tc>
        <w:tc>
          <w:tcPr>
            <w:tcW w:type="dxa" w:w="6480"/>
          </w:tcPr>
          <w:p>
            <w:r/>
            <w:r>
              <w:rPr>
                <w:b w:val="0"/>
                <w:sz w:val="19"/>
              </w:rPr>
              <w:t>DigitalOcean App Platform + Managed PostgreSQL 16</w:t>
            </w:r>
          </w:p>
        </w:tc>
      </w:tr>
      <w:tr>
        <w:tc>
          <w:tcPr>
            <w:tcW w:type="dxa" w:w="2880"/>
          </w:tcPr>
          <w:p>
            <w:r/>
            <w:r>
              <w:rPr>
                <w:b w:val="0"/>
                <w:sz w:val="19"/>
              </w:rPr>
              <w:t>Automated tests</w:t>
            </w:r>
          </w:p>
        </w:tc>
        <w:tc>
          <w:tcPr>
            <w:tcW w:type="dxa" w:w="6480"/>
          </w:tcPr>
          <w:p>
            <w:r/>
            <w:r>
              <w:rPr>
                <w:b w:val="0"/>
                <w:sz w:val="19"/>
              </w:rPr>
              <w:t>132 passing across 12 suites (CI on every push)</w:t>
            </w:r>
          </w:p>
        </w:tc>
      </w:tr>
      <w:tr>
        <w:tc>
          <w:tcPr>
            <w:tcW w:type="dxa" w:w="2880"/>
          </w:tcPr>
          <w:p>
            <w:r/>
            <w:r>
              <w:rPr>
                <w:b w:val="0"/>
                <w:sz w:val="19"/>
              </w:rPr>
              <w:t>Built-in SAP objects</w:t>
            </w:r>
          </w:p>
        </w:tc>
        <w:tc>
          <w:tcPr>
            <w:tcW w:type="dxa" w:w="6480"/>
          </w:tcPr>
          <w:p>
            <w:r/>
            <w:r>
              <w:rPr>
                <w:b w:val="0"/>
                <w:sz w:val="19"/>
              </w:rPr>
              <w:t>22 (Finance, Controlling, Master Data, Logistics, Inventory, HR, Basis)</w:t>
            </w:r>
          </w:p>
        </w:tc>
      </w:tr>
      <w:tr>
        <w:tc>
          <w:tcPr>
            <w:tcW w:type="dxa" w:w="2880"/>
          </w:tcPr>
          <w:p>
            <w:r/>
            <w:r>
              <w:rPr>
                <w:b w:val="0"/>
                <w:sz w:val="19"/>
              </w:rPr>
              <w:t>Custom objects</w:t>
            </w:r>
          </w:p>
        </w:tc>
        <w:tc>
          <w:tcPr>
            <w:tcW w:type="dxa" w:w="6480"/>
          </w:tcPr>
          <w:p>
            <w:r/>
            <w:r>
              <w:rPr>
                <w:b w:val="0"/>
                <w:sz w:val="19"/>
              </w:rPr>
              <w:t>Org-defined objects supported, fully through the pipeline</w:t>
            </w:r>
          </w:p>
        </w:tc>
      </w:tr>
      <w:tr>
        <w:tc>
          <w:tcPr>
            <w:tcW w:type="dxa" w:w="2880"/>
          </w:tcPr>
          <w:p>
            <w:r/>
            <w:r>
              <w:rPr>
                <w:b w:val="0"/>
                <w:sz w:val="19"/>
              </w:rPr>
              <w:t>AI field mapping</w:t>
            </w:r>
          </w:p>
        </w:tc>
        <w:tc>
          <w:tcPr>
            <w:tcW w:type="dxa" w:w="6480"/>
          </w:tcPr>
          <w:p>
            <w:r/>
            <w:r>
              <w:rPr>
                <w:b w:val="0"/>
                <w:sz w:val="19"/>
              </w:rPr>
              <w:t>Live — powered by Claude (claude-haiku-4-5)</w:t>
            </w:r>
          </w:p>
        </w:tc>
      </w:tr>
      <w:tr>
        <w:tc>
          <w:tcPr>
            <w:tcW w:type="dxa" w:w="2880"/>
          </w:tcPr>
          <w:p>
            <w:r/>
            <w:r>
              <w:rPr>
                <w:b w:val="0"/>
                <w:sz w:val="19"/>
              </w:rPr>
              <w:t>Public API</w:t>
            </w:r>
          </w:p>
        </w:tc>
        <w:tc>
          <w:tcPr>
            <w:tcW w:type="dxa" w:w="6480"/>
          </w:tcPr>
          <w:p>
            <w:r/>
            <w:r>
              <w:rPr>
                <w:b w:val="0"/>
                <w:sz w:val="19"/>
              </w:rPr>
              <w:t>v1 REST API with org-scoped API keys</w:t>
            </w:r>
          </w:p>
        </w:tc>
      </w:tr>
      <w:tr>
        <w:tc>
          <w:tcPr>
            <w:tcW w:type="dxa" w:w="2880"/>
          </w:tcPr>
          <w:p>
            <w:r/>
            <w:r>
              <w:rPr>
                <w:b w:val="0"/>
                <w:sz w:val="19"/>
              </w:rPr>
              <w:t>Roadmap</w:t>
            </w:r>
          </w:p>
        </w:tc>
        <w:tc>
          <w:tcPr>
            <w:tcW w:type="dxa" w:w="6480"/>
          </w:tcPr>
          <w:p>
            <w:r/>
            <w:r>
              <w:rPr>
                <w:b w:val="0"/>
                <w:sz w:val="19"/>
              </w:rPr>
              <w:t>Phases 1, 2 &amp; Data Extract complete; Phases 3 &amp; 4 largely complete</w:t>
            </w:r>
          </w:p>
        </w:tc>
      </w:tr>
    </w:tbl>
    <w:p>
      <w:r>
        <w:br w:type="page"/>
      </w:r>
    </w:p>
    <w:p>
      <w:pPr>
        <w:spacing w:before="280" w:after="120"/>
      </w:pPr>
      <w:r>
        <w:rPr>
          <w:b/>
          <w:color w:val="1E3A5F"/>
          <w:sz w:val="30"/>
        </w:rPr>
        <w:t>What We Built</w:t>
      </w:r>
    </w:p>
    <w:p>
      <w:pPr>
        <w:spacing w:before="160" w:after="120"/>
      </w:pPr>
      <w:r>
        <w:rPr>
          <w:b/>
          <w:color w:val="1E3A5F"/>
          <w:sz w:val="24"/>
        </w:rPr>
        <w:t>1. Accounts, Teams &amp; Access</w:t>
      </w:r>
    </w:p>
    <w:p>
      <w:pPr>
        <w:pStyle w:val="ListBullet"/>
        <w:spacing w:after="40"/>
      </w:pPr>
      <w:r>
        <w:rPr>
          <w:sz w:val="21"/>
        </w:rPr>
        <w:t>Multi-tenant workspaces — Organization → User → Project, fully isolated per tenant</w:t>
      </w:r>
    </w:p>
    <w:p>
      <w:pPr>
        <w:pStyle w:val="ListBullet"/>
        <w:spacing w:after="40"/>
      </w:pPr>
      <w:r>
        <w:rPr>
          <w:sz w:val="21"/>
        </w:rPr>
        <w:t>Role-based access control: Admin / Migrator / Viewer</w:t>
      </w:r>
    </w:p>
    <w:p>
      <w:pPr>
        <w:pStyle w:val="ListBullet"/>
        <w:spacing w:after="40"/>
      </w:pPr>
      <w:r>
        <w:rPr>
          <w:sz w:val="21"/>
        </w:rPr>
        <w:t>Email invites (Resend) with auto-generated temporary passwords</w:t>
      </w:r>
    </w:p>
    <w:p>
      <w:pPr>
        <w:pStyle w:val="ListBullet"/>
        <w:spacing w:after="40"/>
      </w:pPr>
      <w:r>
        <w:rPr>
          <w:sz w:val="21"/>
        </w:rPr>
        <w:t>Forced password change on first login; forgot/reset password via email token</w:t>
      </w:r>
    </w:p>
    <w:p>
      <w:pPr>
        <w:pStyle w:val="ListBullet"/>
        <w:spacing w:after="40"/>
      </w:pPr>
      <w:r>
        <w:rPr>
          <w:sz w:val="21"/>
        </w:rPr>
        <w:t>Profile editing, password management, and notification preferences</w:t>
      </w:r>
    </w:p>
    <w:p>
      <w:pPr>
        <w:spacing w:before="160" w:after="120"/>
      </w:pPr>
      <w:r>
        <w:rPr>
          <w:b/>
          <w:color w:val="1E3A5F"/>
          <w:sz w:val="24"/>
        </w:rPr>
        <w:t>2. Migration Projects</w:t>
      </w:r>
    </w:p>
    <w:p>
      <w:pPr>
        <w:pStyle w:val="ListBullet"/>
        <w:spacing w:after="40"/>
      </w:pPr>
      <w:r>
        <w:rPr>
          <w:sz w:val="21"/>
        </w:rPr>
        <w:t>Two SAP approaches: Staging Tables (XML upload) and Direct Transfer (RFC)</w:t>
      </w:r>
    </w:p>
    <w:p>
      <w:pPr>
        <w:pStyle w:val="ListBullet"/>
        <w:spacing w:after="40"/>
      </w:pPr>
      <w:r>
        <w:rPr>
          <w:sz w:val="21"/>
        </w:rPr>
        <w:t>Project settings: status, go-live date, source/target systems</w:t>
      </w:r>
    </w:p>
    <w:p>
      <w:pPr>
        <w:pStyle w:val="ListBullet"/>
        <w:spacing w:after="40"/>
      </w:pPr>
      <w:r>
        <w:rPr>
          <w:sz w:val="21"/>
        </w:rPr>
        <w:t>Clone a project (copies objects + value mappings); export a full CSV report</w:t>
      </w:r>
    </w:p>
    <w:p>
      <w:pPr>
        <w:spacing w:before="160" w:after="120"/>
      </w:pPr>
      <w:r>
        <w:rPr>
          <w:b/>
          <w:color w:val="1E3A5F"/>
          <w:sz w:val="24"/>
        </w:rPr>
        <w:t>3. Objects, Mapping &amp; Templates</w:t>
      </w:r>
    </w:p>
    <w:p>
      <w:pPr>
        <w:pStyle w:val="ListBullet"/>
        <w:spacing w:after="40"/>
      </w:pPr>
      <w:r>
        <w:rPr>
          <w:sz w:val="21"/>
        </w:rPr>
        <w:t>Catalog of 22 real SAP objects with field definitions, tables, required flags, examples</w:t>
      </w:r>
    </w:p>
    <w:p>
      <w:pPr>
        <w:pStyle w:val="ListBullet"/>
        <w:spacing w:after="40"/>
      </w:pPr>
      <w:r>
        <w:rPr>
          <w:sz w:val="21"/>
        </w:rPr>
        <w:t>Custom object definitions — orgs add their own objects/fields beyond the built-in catalog</w:t>
      </w:r>
    </w:p>
    <w:p>
      <w:pPr>
        <w:pStyle w:val="ListBullet"/>
        <w:spacing w:after="40"/>
      </w:pPr>
      <w:r>
        <w:rPr>
          <w:sz w:val="21"/>
        </w:rPr>
        <w:t>Per-object value mapping (source → SAP) with CSV import/export</w:t>
      </w:r>
    </w:p>
    <w:p>
      <w:pPr>
        <w:pStyle w:val="ListBullet"/>
        <w:spacing w:after="40"/>
      </w:pPr>
      <w:r>
        <w:rPr>
          <w:sz w:val="21"/>
        </w:rPr>
        <w:t>One-click MS Excel XML Spreadsheet 2003 templates — the only format SAP Migration Cockpit accepts</w:t>
      </w:r>
    </w:p>
    <w:p>
      <w:pPr>
        <w:pStyle w:val="ListBullet"/>
        <w:spacing w:after="40"/>
      </w:pPr>
      <w:r>
        <w:rPr>
          <w:sz w:val="21"/>
        </w:rPr>
        <w:t>Pre-upload data validation against each object’s field rules (required, length, type, date/number formats)</w:t>
      </w:r>
    </w:p>
    <w:p>
      <w:pPr>
        <w:spacing w:before="160" w:after="120"/>
      </w:pPr>
      <w:r>
        <w:rPr>
          <w:b/>
          <w:color w:val="1E3A5F"/>
          <w:sz w:val="24"/>
        </w:rPr>
        <w:t>4. Runs — Simulate &amp; Execute</w:t>
      </w:r>
    </w:p>
    <w:p>
      <w:pPr>
        <w:pStyle w:val="ListBullet"/>
        <w:spacing w:after="40"/>
      </w:pPr>
      <w:r>
        <w:rPr>
          <w:sz w:val="21"/>
        </w:rPr>
        <w:t>Simulation runs validate every record without committing (SAP TESTRUN equivalent)</w:t>
      </w:r>
    </w:p>
    <w:p>
      <w:pPr>
        <w:pStyle w:val="ListBullet"/>
        <w:spacing w:after="40"/>
      </w:pPr>
      <w:r>
        <w:rPr>
          <w:sz w:val="21"/>
        </w:rPr>
        <w:t>Migration runs with record-level result tracking (success / error / warning)</w:t>
      </w:r>
    </w:p>
    <w:p>
      <w:pPr>
        <w:pStyle w:val="ListBullet"/>
        <w:spacing w:after="40"/>
      </w:pPr>
      <w:r>
        <w:rPr>
          <w:sz w:val="21"/>
        </w:rPr>
        <w:t>Downloadable correction file (CSV of failed records) to fix and re-upload</w:t>
      </w:r>
    </w:p>
    <w:p>
      <w:pPr>
        <w:pStyle w:val="ListBullet"/>
        <w:spacing w:after="40"/>
      </w:pPr>
      <w:r>
        <w:rPr>
          <w:sz w:val="21"/>
        </w:rPr>
        <w:t>Run comparison — diff two runs side by side; email notification on completion</w:t>
      </w:r>
    </w:p>
    <w:p>
      <w:pPr>
        <w:spacing w:before="160" w:after="120"/>
      </w:pPr>
      <w:r>
        <w:rPr>
          <w:b/>
          <w:color w:val="1E3A5F"/>
          <w:sz w:val="24"/>
        </w:rPr>
        <w:t>5. Data Extract (Reverse Migration)</w:t>
      </w:r>
    </w:p>
    <w:p>
      <w:pPr>
        <w:pStyle w:val="ListBullet"/>
        <w:spacing w:after="40"/>
      </w:pPr>
      <w:r>
        <w:rPr>
          <w:sz w:val="21"/>
        </w:rPr>
        <w:t>Extract data FROM SAP INTO PostgreSQL, Snowflake, BigQuery, or CSV download</w:t>
      </w:r>
    </w:p>
    <w:p>
      <w:pPr>
        <w:pStyle w:val="ListBullet"/>
        <w:spacing w:after="40"/>
      </w:pPr>
      <w:r>
        <w:rPr>
          <w:sz w:val="21"/>
        </w:rPr>
        <w:t>Per-target connection config, object selection, async job runner, job history with row counts</w:t>
      </w:r>
    </w:p>
    <w:p>
      <w:pPr>
        <w:spacing w:before="160" w:after="120"/>
      </w:pPr>
      <w:r>
        <w:rPr>
          <w:b/>
          <w:color w:val="1E3A5F"/>
          <w:sz w:val="24"/>
        </w:rPr>
        <w:t>6. Intelligence &amp; Scale</w:t>
      </w:r>
    </w:p>
    <w:p>
      <w:pPr>
        <w:pStyle w:val="ListBullet"/>
        <w:spacing w:after="40"/>
      </w:pPr>
      <w:r>
        <w:rPr>
          <w:sz w:val="21"/>
        </w:rPr>
        <w:t>AI-assisted field mapping — paste legacy column headers, get ranked SAP field suggestions</w:t>
      </w:r>
    </w:p>
    <w:p>
      <w:pPr>
        <w:pStyle w:val="ListBullet"/>
        <w:spacing w:after="40"/>
      </w:pPr>
      <w:r>
        <w:rPr>
          <w:sz w:val="21"/>
        </w:rPr>
        <w:t>Powered by Claude when enabled (with a deterministic smart-matching fallback that never fails)</w:t>
      </w:r>
    </w:p>
    <w:p>
      <w:pPr>
        <w:pStyle w:val="ListBullet"/>
        <w:spacing w:after="40"/>
      </w:pPr>
      <w:r>
        <w:rPr>
          <w:sz w:val="21"/>
        </w:rPr>
        <w:t>Data quality scoring — 0–100 score + A–F grade per object and project</w:t>
      </w:r>
    </w:p>
    <w:p>
      <w:pPr>
        <w:pStyle w:val="ListBullet"/>
        <w:spacing w:after="40"/>
      </w:pPr>
      <w:r>
        <w:rPr>
          <w:sz w:val="21"/>
        </w:rPr>
        <w:t>Migration timeline planner — effort and working-days-to-go-live estimate</w:t>
      </w:r>
    </w:p>
    <w:p>
      <w:pPr>
        <w:pStyle w:val="ListBullet"/>
        <w:spacing w:after="40"/>
      </w:pPr>
      <w:r>
        <w:rPr>
          <w:sz w:val="21"/>
        </w:rPr>
        <w:t>Cross-project insights — quality, readiness, and velocity across all projects</w:t>
      </w:r>
    </w:p>
    <w:p>
      <w:pPr>
        <w:pStyle w:val="ListBullet"/>
        <w:spacing w:after="40"/>
      </w:pPr>
      <w:r>
        <w:rPr>
          <w:sz w:val="21"/>
        </w:rPr>
        <w:t>Public REST API (v1) + API keys for ERP integrators and SI partners</w:t>
      </w:r>
    </w:p>
    <w:p>
      <w:pPr>
        <w:spacing w:before="160" w:after="120"/>
      </w:pPr>
      <w:r>
        <w:rPr>
          <w:b/>
          <w:color w:val="1E3A5F"/>
          <w:sz w:val="24"/>
        </w:rPr>
        <w:t>7. Visibility &amp; Governance</w:t>
      </w:r>
    </w:p>
    <w:p>
      <w:pPr>
        <w:pStyle w:val="ListBullet"/>
        <w:spacing w:after="40"/>
      </w:pPr>
      <w:r>
        <w:rPr>
          <w:sz w:val="21"/>
        </w:rPr>
        <w:t>Dashboard — projects, readiness %, records migrated, error rates, recent activity</w:t>
      </w:r>
    </w:p>
    <w:p>
      <w:pPr>
        <w:pStyle w:val="ListBullet"/>
        <w:spacing w:after="40"/>
      </w:pPr>
      <w:r>
        <w:rPr>
          <w:sz w:val="21"/>
        </w:rPr>
        <w:t>Audit log — every action (project, run, member, connection, key, custom object) with user + timestamp</w:t>
      </w:r>
    </w:p>
    <w:p>
      <w:pPr>
        <w:pStyle w:val="ListBullet"/>
        <w:spacing w:after="40"/>
      </w:pPr>
      <w:r>
        <w:rPr>
          <w:sz w:val="21"/>
        </w:rPr>
        <w:t>Global command-palette search (⌘K) across projects and objects</w:t>
      </w:r>
    </w:p>
    <w:p>
      <w:pPr>
        <w:pStyle w:val="ListBullet"/>
        <w:spacing w:after="40"/>
      </w:pPr>
      <w:r>
        <w:rPr>
          <w:sz w:val="21"/>
        </w:rPr>
        <w:t>Per-project SAP connection settings</w:t>
      </w:r>
    </w:p>
    <w:p>
      <w:r>
        <w:br w:type="page"/>
      </w:r>
    </w:p>
    <w:p>
      <w:pPr>
        <w:spacing w:before="280" w:after="120"/>
      </w:pPr>
      <w:r>
        <w:rPr>
          <w:b/>
          <w:color w:val="1E3A5F"/>
          <w:sz w:val="30"/>
        </w:rPr>
        <w:t>Where We Are — Roadmap Status</w:t>
      </w:r>
    </w:p>
    <w:tbl>
      <w:tblPr>
        <w:tblStyle w:val="TableGrid"/>
        <w:tblW w:type="auto" w:w="0"/>
        <w:jc w:val="left"/>
        <w:tblLook w:firstColumn="1" w:firstRow="1" w:lastColumn="0" w:lastRow="0" w:noHBand="0" w:noVBand="1" w:val="04A0"/>
      </w:tblPr>
      <w:tblGrid>
        <w:gridCol w:w="2880"/>
        <w:gridCol w:w="2880"/>
        <w:gridCol w:w="2880"/>
      </w:tblGrid>
      <w:tr>
        <w:tc>
          <w:tcPr>
            <w:tcW w:type="dxa" w:w="1728"/>
            <w:shd w:val="clear" w:color="auto" w:fill="1E3A5F"/>
          </w:tcPr>
          <w:p>
            <w:r/>
            <w:r>
              <w:rPr>
                <w:b/>
                <w:color w:val="FFFFFF"/>
                <w:sz w:val="19"/>
              </w:rPr>
              <w:t>Phase</w:t>
            </w:r>
          </w:p>
        </w:tc>
        <w:tc>
          <w:tcPr>
            <w:tcW w:type="dxa" w:w="5760"/>
            <w:shd w:val="clear" w:color="auto" w:fill="1E3A5F"/>
          </w:tcPr>
          <w:p>
            <w:r/>
            <w:r>
              <w:rPr>
                <w:b/>
                <w:color w:val="FFFFFF"/>
                <w:sz w:val="19"/>
              </w:rPr>
              <w:t>Scope</w:t>
            </w:r>
          </w:p>
        </w:tc>
        <w:tc>
          <w:tcPr>
            <w:tcW w:type="dxa" w:w="1872"/>
            <w:shd w:val="clear" w:color="auto" w:fill="1E3A5F"/>
          </w:tcPr>
          <w:p>
            <w:r/>
            <w:r>
              <w:rPr>
                <w:b/>
                <w:color w:val="FFFFFF"/>
                <w:sz w:val="19"/>
              </w:rPr>
              <w:t>Status</w:t>
            </w:r>
          </w:p>
        </w:tc>
      </w:tr>
      <w:tr>
        <w:tc>
          <w:tcPr>
            <w:tcW w:type="dxa" w:w="1728"/>
          </w:tcPr>
          <w:p>
            <w:r/>
            <w:r>
              <w:rPr>
                <w:b w:val="0"/>
                <w:sz w:val="19"/>
              </w:rPr>
              <w:t>Phase 1</w:t>
            </w:r>
          </w:p>
        </w:tc>
        <w:tc>
          <w:tcPr>
            <w:tcW w:type="dxa" w:w="5760"/>
          </w:tcPr>
          <w:p>
            <w:r/>
            <w:r>
              <w:rPr>
                <w:b w:val="0"/>
                <w:sz w:val="19"/>
              </w:rPr>
              <w:t>Core migration platform (MVP)</w:t>
            </w:r>
          </w:p>
        </w:tc>
        <w:tc>
          <w:tcPr>
            <w:tcW w:type="dxa" w:w="1872"/>
          </w:tcPr>
          <w:p>
            <w:r/>
            <w:r>
              <w:rPr>
                <w:b/>
                <w:color w:val="1B7F3B"/>
                <w:sz w:val="19"/>
              </w:rPr>
              <w:t>Done</w:t>
            </w:r>
          </w:p>
        </w:tc>
      </w:tr>
      <w:tr>
        <w:tc>
          <w:tcPr>
            <w:tcW w:type="dxa" w:w="1728"/>
          </w:tcPr>
          <w:p>
            <w:r/>
            <w:r>
              <w:rPr>
                <w:b w:val="0"/>
                <w:sz w:val="19"/>
              </w:rPr>
              <w:t>Phase 2</w:t>
            </w:r>
          </w:p>
        </w:tc>
        <w:tc>
          <w:tcPr>
            <w:tcW w:type="dxa" w:w="5760"/>
          </w:tcPr>
          <w:p>
            <w:r/>
            <w:r>
              <w:rPr>
                <w:b w:val="0"/>
                <w:sz w:val="19"/>
              </w:rPr>
              <w:t>SAP connection &amp; error workflow</w:t>
            </w:r>
          </w:p>
        </w:tc>
        <w:tc>
          <w:tcPr>
            <w:tcW w:type="dxa" w:w="1872"/>
          </w:tcPr>
          <w:p>
            <w:r/>
            <w:r>
              <w:rPr>
                <w:b/>
                <w:color w:val="1B7F3B"/>
                <w:sz w:val="19"/>
              </w:rPr>
              <w:t>Done</w:t>
            </w:r>
          </w:p>
        </w:tc>
      </w:tr>
      <w:tr>
        <w:tc>
          <w:tcPr>
            <w:tcW w:type="dxa" w:w="1728"/>
          </w:tcPr>
          <w:p>
            <w:r/>
            <w:r>
              <w:rPr>
                <w:b w:val="0"/>
                <w:sz w:val="19"/>
              </w:rPr>
              <w:t>Data Extract</w:t>
            </w:r>
          </w:p>
        </w:tc>
        <w:tc>
          <w:tcPr>
            <w:tcW w:type="dxa" w:w="5760"/>
          </w:tcPr>
          <w:p>
            <w:r/>
            <w:r>
              <w:rPr>
                <w:b w:val="0"/>
                <w:sz w:val="19"/>
              </w:rPr>
              <w:t>SAP → PostgreSQL / Snowflake / BigQuery / CSV</w:t>
            </w:r>
          </w:p>
        </w:tc>
        <w:tc>
          <w:tcPr>
            <w:tcW w:type="dxa" w:w="1872"/>
          </w:tcPr>
          <w:p>
            <w:r/>
            <w:r>
              <w:rPr>
                <w:b/>
                <w:color w:val="1B7F3B"/>
                <w:sz w:val="19"/>
              </w:rPr>
              <w:t>Done</w:t>
            </w:r>
          </w:p>
        </w:tc>
      </w:tr>
      <w:tr>
        <w:tc>
          <w:tcPr>
            <w:tcW w:type="dxa" w:w="1728"/>
          </w:tcPr>
          <w:p>
            <w:r/>
            <w:r>
              <w:rPr>
                <w:b w:val="0"/>
                <w:sz w:val="19"/>
              </w:rPr>
              <w:t>Phase 3</w:t>
            </w:r>
          </w:p>
        </w:tc>
        <w:tc>
          <w:tcPr>
            <w:tcW w:type="dxa" w:w="5760"/>
          </w:tcPr>
          <w:p>
            <w:r/>
            <w:r>
              <w:rPr>
                <w:b w:val="0"/>
                <w:sz w:val="19"/>
              </w:rPr>
              <w:t>Enterprise compliance &amp; governance</w:t>
            </w:r>
          </w:p>
        </w:tc>
        <w:tc>
          <w:tcPr>
            <w:tcW w:type="dxa" w:w="1872"/>
          </w:tcPr>
          <w:p>
            <w:r/>
            <w:r>
              <w:rPr>
                <w:b/>
                <w:color w:val="B06A00"/>
                <w:sz w:val="19"/>
              </w:rPr>
              <w:t>In progress</w:t>
            </w:r>
          </w:p>
        </w:tc>
      </w:tr>
      <w:tr>
        <w:tc>
          <w:tcPr>
            <w:tcW w:type="dxa" w:w="1728"/>
          </w:tcPr>
          <w:p>
            <w:r/>
            <w:r>
              <w:rPr>
                <w:b w:val="0"/>
                <w:sz w:val="19"/>
              </w:rPr>
              <w:t>Phase 4</w:t>
            </w:r>
          </w:p>
        </w:tc>
        <w:tc>
          <w:tcPr>
            <w:tcW w:type="dxa" w:w="5760"/>
          </w:tcPr>
          <w:p>
            <w:r/>
            <w:r>
              <w:rPr>
                <w:b w:val="0"/>
                <w:sz w:val="19"/>
              </w:rPr>
              <w:t>Intelligence &amp; scale</w:t>
            </w:r>
          </w:p>
        </w:tc>
        <w:tc>
          <w:tcPr>
            <w:tcW w:type="dxa" w:w="1872"/>
          </w:tcPr>
          <w:p>
            <w:r/>
            <w:r>
              <w:rPr>
                <w:b/>
                <w:color w:val="B06A00"/>
                <w:sz w:val="19"/>
              </w:rPr>
              <w:t>In progress</w:t>
            </w:r>
          </w:p>
        </w:tc>
      </w:tr>
    </w:tbl>
    <w:p>
      <w:pPr>
        <w:spacing w:before="200" w:after="120"/>
      </w:pPr>
      <w:r>
        <w:rPr>
          <w:b/>
          <w:color w:val="1E3A5F"/>
          <w:sz w:val="24"/>
        </w:rPr>
        <w:t>Phase 3 — Enterprise Compliance &amp; Governance</w:t>
      </w:r>
    </w:p>
    <w:tbl>
      <w:tblPr>
        <w:tblStyle w:val="TableGrid"/>
        <w:tblW w:type="auto" w:w="0"/>
        <w:jc w:val="left"/>
        <w:tblLook w:firstColumn="1" w:firstRow="1" w:lastColumn="0" w:lastRow="0" w:noHBand="0" w:noVBand="1" w:val="04A0"/>
      </w:tblPr>
      <w:tblGrid>
        <w:gridCol w:w="4320"/>
        <w:gridCol w:w="4320"/>
      </w:tblGrid>
      <w:tr>
        <w:tc>
          <w:tcPr>
            <w:tcW w:type="dxa" w:w="6192"/>
            <w:shd w:val="clear" w:color="auto" w:fill="1E3A5F"/>
          </w:tcPr>
          <w:p>
            <w:r/>
            <w:r>
              <w:rPr>
                <w:b/>
                <w:color w:val="FFFFFF"/>
                <w:sz w:val="19"/>
              </w:rPr>
              <w:t>Capability</w:t>
            </w:r>
          </w:p>
        </w:tc>
        <w:tc>
          <w:tcPr>
            <w:tcW w:type="dxa" w:w="3168"/>
            <w:shd w:val="clear" w:color="auto" w:fill="1E3A5F"/>
          </w:tcPr>
          <w:p>
            <w:r/>
            <w:r>
              <w:rPr>
                <w:b/>
                <w:color w:val="FFFFFF"/>
                <w:sz w:val="19"/>
              </w:rPr>
              <w:t>Status</w:t>
            </w:r>
          </w:p>
        </w:tc>
      </w:tr>
      <w:tr>
        <w:tc>
          <w:tcPr>
            <w:tcW w:type="dxa" w:w="6192"/>
          </w:tcPr>
          <w:p>
            <w:r/>
            <w:r>
              <w:rPr>
                <w:b w:val="0"/>
                <w:sz w:val="19"/>
              </w:rPr>
              <w:t>Full audit log</w:t>
            </w:r>
          </w:p>
        </w:tc>
        <w:tc>
          <w:tcPr>
            <w:tcW w:type="dxa" w:w="3168"/>
          </w:tcPr>
          <w:p>
            <w:r/>
            <w:r>
              <w:rPr>
                <w:b/>
                <w:color w:val="1B7F3B"/>
                <w:sz w:val="19"/>
              </w:rPr>
              <w:t>Done</w:t>
            </w:r>
          </w:p>
        </w:tc>
      </w:tr>
      <w:tr>
        <w:tc>
          <w:tcPr>
            <w:tcW w:type="dxa" w:w="6192"/>
          </w:tcPr>
          <w:p>
            <w:r/>
            <w:r>
              <w:rPr>
                <w:b w:val="0"/>
                <w:sz w:val="19"/>
              </w:rPr>
              <w:t>Pre-upload data validation rules</w:t>
            </w:r>
          </w:p>
        </w:tc>
        <w:tc>
          <w:tcPr>
            <w:tcW w:type="dxa" w:w="3168"/>
          </w:tcPr>
          <w:p>
            <w:r/>
            <w:r>
              <w:rPr>
                <w:b/>
                <w:color w:val="1B7F3B"/>
                <w:sz w:val="19"/>
              </w:rPr>
              <w:t>Done</w:t>
            </w:r>
          </w:p>
        </w:tc>
      </w:tr>
      <w:tr>
        <w:tc>
          <w:tcPr>
            <w:tcW w:type="dxa" w:w="6192"/>
          </w:tcPr>
          <w:p>
            <w:r/>
            <w:r>
              <w:rPr>
                <w:b w:val="0"/>
                <w:sz w:val="19"/>
              </w:rPr>
              <w:t>Custom SAP object definitions</w:t>
            </w:r>
          </w:p>
        </w:tc>
        <w:tc>
          <w:tcPr>
            <w:tcW w:type="dxa" w:w="3168"/>
          </w:tcPr>
          <w:p>
            <w:r/>
            <w:r>
              <w:rPr>
                <w:b/>
                <w:color w:val="1B7F3B"/>
                <w:sz w:val="19"/>
              </w:rPr>
              <w:t>Done</w:t>
            </w:r>
          </w:p>
        </w:tc>
      </w:tr>
      <w:tr>
        <w:tc>
          <w:tcPr>
            <w:tcW w:type="dxa" w:w="6192"/>
          </w:tcPr>
          <w:p>
            <w:r/>
            <w:r>
              <w:rPr>
                <w:b w:val="0"/>
                <w:sz w:val="19"/>
              </w:rPr>
              <w:t>Project readiness &amp; go-live tracking</w:t>
            </w:r>
          </w:p>
        </w:tc>
        <w:tc>
          <w:tcPr>
            <w:tcW w:type="dxa" w:w="3168"/>
          </w:tcPr>
          <w:p>
            <w:r/>
            <w:r>
              <w:rPr>
                <w:b/>
                <w:color w:val="1B7F3B"/>
                <w:sz w:val="19"/>
              </w:rPr>
              <w:t>Done</w:t>
            </w:r>
          </w:p>
        </w:tc>
      </w:tr>
      <w:tr>
        <w:tc>
          <w:tcPr>
            <w:tcW w:type="dxa" w:w="6192"/>
          </w:tcPr>
          <w:p>
            <w:r/>
            <w:r>
              <w:rPr>
                <w:b w:val="0"/>
                <w:sz w:val="19"/>
              </w:rPr>
              <w:t>CSV status export</w:t>
            </w:r>
          </w:p>
        </w:tc>
        <w:tc>
          <w:tcPr>
            <w:tcW w:type="dxa" w:w="3168"/>
          </w:tcPr>
          <w:p>
            <w:r/>
            <w:r>
              <w:rPr>
                <w:b/>
                <w:color w:val="1B7F3B"/>
                <w:sz w:val="19"/>
              </w:rPr>
              <w:t>Done</w:t>
            </w:r>
          </w:p>
        </w:tc>
      </w:tr>
      <w:tr>
        <w:tc>
          <w:tcPr>
            <w:tcW w:type="dxa" w:w="6192"/>
          </w:tcPr>
          <w:p>
            <w:r/>
            <w:r>
              <w:rPr>
                <w:b w:val="0"/>
                <w:sz w:val="19"/>
              </w:rPr>
              <w:t>Role-based access (Admin/Migrator/Viewer)</w:t>
            </w:r>
          </w:p>
        </w:tc>
        <w:tc>
          <w:tcPr>
            <w:tcW w:type="dxa" w:w="3168"/>
          </w:tcPr>
          <w:p>
            <w:r/>
            <w:r>
              <w:rPr>
                <w:b/>
                <w:color w:val="1B7F3B"/>
                <w:sz w:val="19"/>
              </w:rPr>
              <w:t>Done</w:t>
            </w:r>
          </w:p>
        </w:tc>
      </w:tr>
      <w:tr>
        <w:tc>
          <w:tcPr>
            <w:tcW w:type="dxa" w:w="6192"/>
          </w:tcPr>
          <w:p>
            <w:r/>
            <w:r>
              <w:rPr>
                <w:b w:val="0"/>
                <w:sz w:val="19"/>
              </w:rPr>
              <w:t>Field-level role access</w:t>
            </w:r>
          </w:p>
        </w:tc>
        <w:tc>
          <w:tcPr>
            <w:tcW w:type="dxa" w:w="3168"/>
          </w:tcPr>
          <w:p>
            <w:r/>
            <w:r>
              <w:rPr>
                <w:b/>
                <w:color w:val="6B7280"/>
                <w:sz w:val="19"/>
              </w:rPr>
              <w:t>Planned</w:t>
            </w:r>
          </w:p>
        </w:tc>
      </w:tr>
      <w:tr>
        <w:tc>
          <w:tcPr>
            <w:tcW w:type="dxa" w:w="6192"/>
          </w:tcPr>
          <w:p>
            <w:r/>
            <w:r>
              <w:rPr>
                <w:b w:val="0"/>
                <w:sz w:val="19"/>
              </w:rPr>
              <w:t>PDF export of status report</w:t>
            </w:r>
          </w:p>
        </w:tc>
        <w:tc>
          <w:tcPr>
            <w:tcW w:type="dxa" w:w="3168"/>
          </w:tcPr>
          <w:p>
            <w:r/>
            <w:r>
              <w:rPr>
                <w:b/>
                <w:color w:val="6B7280"/>
                <w:sz w:val="19"/>
              </w:rPr>
              <w:t>Planned</w:t>
            </w:r>
          </w:p>
        </w:tc>
      </w:tr>
      <w:tr>
        <w:tc>
          <w:tcPr>
            <w:tcW w:type="dxa" w:w="6192"/>
          </w:tcPr>
          <w:p>
            <w:r/>
            <w:r>
              <w:rPr>
                <w:b w:val="0"/>
                <w:sz w:val="19"/>
              </w:rPr>
              <w:t>SSO / SAML (Azure AD, Okta)</w:t>
            </w:r>
          </w:p>
        </w:tc>
        <w:tc>
          <w:tcPr>
            <w:tcW w:type="dxa" w:w="3168"/>
          </w:tcPr>
          <w:p>
            <w:r/>
            <w:r>
              <w:rPr>
                <w:b/>
                <w:color w:val="6B7280"/>
                <w:sz w:val="19"/>
              </w:rPr>
              <w:t>Planned (needs identity provider)</w:t>
            </w:r>
          </w:p>
        </w:tc>
      </w:tr>
    </w:tbl>
    <w:p>
      <w:pPr>
        <w:spacing w:before="200" w:after="120"/>
      </w:pPr>
      <w:r>
        <w:rPr>
          <w:b/>
          <w:color w:val="1E3A5F"/>
          <w:sz w:val="24"/>
        </w:rPr>
        <w:t>Phase 4 — Intelligence &amp; Scale</w:t>
      </w:r>
    </w:p>
    <w:tbl>
      <w:tblPr>
        <w:tblStyle w:val="TableGrid"/>
        <w:tblW w:type="auto" w:w="0"/>
        <w:jc w:val="left"/>
        <w:tblLook w:firstColumn="1" w:firstRow="1" w:lastColumn="0" w:lastRow="0" w:noHBand="0" w:noVBand="1" w:val="04A0"/>
      </w:tblPr>
      <w:tblGrid>
        <w:gridCol w:w="4320"/>
        <w:gridCol w:w="4320"/>
      </w:tblGrid>
      <w:tr>
        <w:tc>
          <w:tcPr>
            <w:tcW w:type="dxa" w:w="6192"/>
            <w:shd w:val="clear" w:color="auto" w:fill="1E3A5F"/>
          </w:tcPr>
          <w:p>
            <w:r/>
            <w:r>
              <w:rPr>
                <w:b/>
                <w:color w:val="FFFFFF"/>
                <w:sz w:val="19"/>
              </w:rPr>
              <w:t>Capability</w:t>
            </w:r>
          </w:p>
        </w:tc>
        <w:tc>
          <w:tcPr>
            <w:tcW w:type="dxa" w:w="3168"/>
            <w:shd w:val="clear" w:color="auto" w:fill="1E3A5F"/>
          </w:tcPr>
          <w:p>
            <w:r/>
            <w:r>
              <w:rPr>
                <w:b/>
                <w:color w:val="FFFFFF"/>
                <w:sz w:val="19"/>
              </w:rPr>
              <w:t>Status</w:t>
            </w:r>
          </w:p>
        </w:tc>
      </w:tr>
      <w:tr>
        <w:tc>
          <w:tcPr>
            <w:tcW w:type="dxa" w:w="6192"/>
          </w:tcPr>
          <w:p>
            <w:r/>
            <w:r>
              <w:rPr>
                <w:b w:val="0"/>
                <w:sz w:val="19"/>
              </w:rPr>
              <w:t>AI-assisted field mapping</w:t>
            </w:r>
          </w:p>
        </w:tc>
        <w:tc>
          <w:tcPr>
            <w:tcW w:type="dxa" w:w="3168"/>
          </w:tcPr>
          <w:p>
            <w:r/>
            <w:r>
              <w:rPr>
                <w:b/>
                <w:color w:val="1B7F3B"/>
                <w:sz w:val="19"/>
              </w:rPr>
              <w:t>Done</w:t>
            </w:r>
          </w:p>
        </w:tc>
      </w:tr>
      <w:tr>
        <w:tc>
          <w:tcPr>
            <w:tcW w:type="dxa" w:w="6192"/>
          </w:tcPr>
          <w:p>
            <w:r/>
            <w:r>
              <w:rPr>
                <w:b w:val="0"/>
                <w:sz w:val="19"/>
              </w:rPr>
              <w:t>Claude LLM-powered mapping</w:t>
            </w:r>
          </w:p>
        </w:tc>
        <w:tc>
          <w:tcPr>
            <w:tcW w:type="dxa" w:w="3168"/>
          </w:tcPr>
          <w:p>
            <w:r/>
            <w:r>
              <w:rPr>
                <w:b/>
                <w:color w:val="1B7F3B"/>
                <w:sz w:val="19"/>
              </w:rPr>
              <w:t>Live</w:t>
            </w:r>
          </w:p>
        </w:tc>
      </w:tr>
      <w:tr>
        <w:tc>
          <w:tcPr>
            <w:tcW w:type="dxa" w:w="6192"/>
          </w:tcPr>
          <w:p>
            <w:r/>
            <w:r>
              <w:rPr>
                <w:b w:val="0"/>
                <w:sz w:val="19"/>
              </w:rPr>
              <w:t>Data quality scoring (0–100, A–F)</w:t>
            </w:r>
          </w:p>
        </w:tc>
        <w:tc>
          <w:tcPr>
            <w:tcW w:type="dxa" w:w="3168"/>
          </w:tcPr>
          <w:p>
            <w:r/>
            <w:r>
              <w:rPr>
                <w:b/>
                <w:color w:val="1B7F3B"/>
                <w:sz w:val="19"/>
              </w:rPr>
              <w:t>Done</w:t>
            </w:r>
          </w:p>
        </w:tc>
      </w:tr>
      <w:tr>
        <w:tc>
          <w:tcPr>
            <w:tcW w:type="dxa" w:w="6192"/>
          </w:tcPr>
          <w:p>
            <w:r/>
            <w:r>
              <w:rPr>
                <w:b w:val="0"/>
                <w:sz w:val="19"/>
              </w:rPr>
              <w:t>Migration timeline planner</w:t>
            </w:r>
          </w:p>
        </w:tc>
        <w:tc>
          <w:tcPr>
            <w:tcW w:type="dxa" w:w="3168"/>
          </w:tcPr>
          <w:p>
            <w:r/>
            <w:r>
              <w:rPr>
                <w:b/>
                <w:color w:val="1B7F3B"/>
                <w:sz w:val="19"/>
              </w:rPr>
              <w:t>Done</w:t>
            </w:r>
          </w:p>
        </w:tc>
      </w:tr>
      <w:tr>
        <w:tc>
          <w:tcPr>
            <w:tcW w:type="dxa" w:w="6192"/>
          </w:tcPr>
          <w:p>
            <w:r/>
            <w:r>
              <w:rPr>
                <w:b w:val="0"/>
                <w:sz w:val="19"/>
              </w:rPr>
              <w:t>Cross-project analytics</w:t>
            </w:r>
          </w:p>
        </w:tc>
        <w:tc>
          <w:tcPr>
            <w:tcW w:type="dxa" w:w="3168"/>
          </w:tcPr>
          <w:p>
            <w:r/>
            <w:r>
              <w:rPr>
                <w:b/>
                <w:color w:val="1B7F3B"/>
                <w:sz w:val="19"/>
              </w:rPr>
              <w:t>Done</w:t>
            </w:r>
          </w:p>
        </w:tc>
      </w:tr>
      <w:tr>
        <w:tc>
          <w:tcPr>
            <w:tcW w:type="dxa" w:w="6192"/>
          </w:tcPr>
          <w:p>
            <w:r/>
            <w:r>
              <w:rPr>
                <w:b w:val="0"/>
                <w:sz w:val="19"/>
              </w:rPr>
              <w:t>Public REST API + API keys</w:t>
            </w:r>
          </w:p>
        </w:tc>
        <w:tc>
          <w:tcPr>
            <w:tcW w:type="dxa" w:w="3168"/>
          </w:tcPr>
          <w:p>
            <w:r/>
            <w:r>
              <w:rPr>
                <w:b/>
                <w:color w:val="1B7F3B"/>
                <w:sz w:val="19"/>
              </w:rPr>
              <w:t>Done</w:t>
            </w:r>
          </w:p>
        </w:tc>
      </w:tr>
      <w:tr>
        <w:tc>
          <w:tcPr>
            <w:tcW w:type="dxa" w:w="6192"/>
          </w:tcPr>
          <w:p>
            <w:r/>
            <w:r>
              <w:rPr>
                <w:b w:val="0"/>
                <w:sz w:val="19"/>
              </w:rPr>
              <w:t>White-label (custom domain + logo)</w:t>
            </w:r>
          </w:p>
        </w:tc>
        <w:tc>
          <w:tcPr>
            <w:tcW w:type="dxa" w:w="3168"/>
          </w:tcPr>
          <w:p>
            <w:r/>
            <w:r>
              <w:rPr>
                <w:b/>
                <w:color w:val="6B7280"/>
                <w:sz w:val="19"/>
              </w:rPr>
              <w:t>Planned (needs DNS/cert)</w:t>
            </w:r>
          </w:p>
        </w:tc>
      </w:tr>
      <w:tr>
        <w:tc>
          <w:tcPr>
            <w:tcW w:type="dxa" w:w="6192"/>
          </w:tcPr>
          <w:p>
            <w:r/>
            <w:r>
              <w:rPr>
                <w:b w:val="0"/>
                <w:sz w:val="19"/>
              </w:rPr>
              <w:t>Multi-language support</w:t>
            </w:r>
          </w:p>
        </w:tc>
        <w:tc>
          <w:tcPr>
            <w:tcW w:type="dxa" w:w="3168"/>
          </w:tcPr>
          <w:p>
            <w:r/>
            <w:r>
              <w:rPr>
                <w:b/>
                <w:color w:val="6B7280"/>
                <w:sz w:val="19"/>
              </w:rPr>
              <w:t>Planned</w:t>
            </w:r>
          </w:p>
        </w:tc>
      </w:tr>
    </w:tbl>
    <w:p>
      <w:r>
        <w:br w:type="page"/>
      </w:r>
    </w:p>
    <w:p>
      <w:pPr>
        <w:spacing w:before="280" w:after="120"/>
      </w:pPr>
      <w:r>
        <w:rPr>
          <w:b/>
          <w:color w:val="1E3A5F"/>
          <w:sz w:val="30"/>
        </w:rPr>
        <w:t>What Still Needs to Be Built</w:t>
      </w:r>
    </w:p>
    <w:p>
      <w:pPr>
        <w:spacing w:before="160" w:after="120"/>
      </w:pPr>
      <w:r>
        <w:rPr>
          <w:b/>
          <w:color w:val="B06A00"/>
          <w:sz w:val="24"/>
        </w:rPr>
        <w:t>Highest priority — the core execution gap</w:t>
      </w:r>
    </w:p>
    <w:p>
      <w:pPr>
        <w:spacing w:after="120"/>
      </w:pPr>
      <w:r>
        <w:rPr>
          <w:i w:val="0"/>
          <w:sz w:val="21"/>
        </w:rPr>
        <w:t>Today the migration runs and data extracts are realistically simulated — the platform manages the entire workflow (mapping, templates, validation, tracking, comparison) but does not yet open a live connection to a customer’s SAP system. Closing this turns SAP Migrator from a migration management tool into a migration execution tool.</w:t>
      </w:r>
    </w:p>
    <w:p>
      <w:pPr>
        <w:pStyle w:val="ListBullet"/>
        <w:spacing w:after="40"/>
      </w:pPr>
      <w:r>
        <w:rPr>
          <w:sz w:val="21"/>
        </w:rPr>
        <w:t>Live SAP connectivity for runs — RFC for Direct Transfer; Migration Cockpit staging API for uploads</w:t>
      </w:r>
    </w:p>
    <w:p>
      <w:pPr>
        <w:pStyle w:val="ListBullet"/>
        <w:spacing w:after="40"/>
      </w:pPr>
      <w:r>
        <w:rPr>
          <w:sz w:val="21"/>
        </w:rPr>
        <w:t>Live extract connectors — write extracted data to PostgreSQL/Snowflake/BigQuery via real drivers</w:t>
      </w:r>
    </w:p>
    <w:p>
      <w:pPr>
        <w:pStyle w:val="ListBullet"/>
        <w:spacing w:after="40"/>
      </w:pPr>
      <w:r>
        <w:rPr>
          <w:sz w:val="21"/>
        </w:rPr>
        <w:t>Note: this requires SAP system credentials and the licensed SAP NetWeaver RFC SDK</w:t>
      </w:r>
    </w:p>
    <w:p>
      <w:pPr>
        <w:spacing w:before="200" w:after="120"/>
      </w:pPr>
      <w:r>
        <w:rPr>
          <w:b/>
          <w:color w:val="1E3A5F"/>
          <w:sz w:val="24"/>
        </w:rPr>
        <w:t>Fully buildable now (no external dependencies)</w:t>
      </w:r>
    </w:p>
    <w:p>
      <w:pPr>
        <w:pStyle w:val="ListBullet"/>
        <w:spacing w:after="40"/>
      </w:pPr>
      <w:r>
        <w:rPr>
          <w:sz w:val="21"/>
        </w:rPr>
        <w:t>Field-level role access — restrict which fields Migrators vs Admins can edit</w:t>
      </w:r>
    </w:p>
    <w:p>
      <w:pPr>
        <w:pStyle w:val="ListBullet"/>
        <w:spacing w:after="40"/>
      </w:pPr>
      <w:r>
        <w:rPr>
          <w:sz w:val="21"/>
        </w:rPr>
        <w:t>PDF export of the project status report (currently CSV)</w:t>
      </w:r>
    </w:p>
    <w:p>
      <w:pPr>
        <w:pStyle w:val="ListBullet"/>
        <w:spacing w:after="40"/>
      </w:pPr>
      <w:r>
        <w:rPr>
          <w:sz w:val="21"/>
        </w:rPr>
        <w:t>Scheduled / recurring data extracts</w:t>
      </w:r>
    </w:p>
    <w:p>
      <w:pPr>
        <w:spacing w:before="200" w:after="120"/>
      </w:pPr>
      <w:r>
        <w:rPr>
          <w:b/>
          <w:color w:val="1E3A5F"/>
          <w:sz w:val="24"/>
        </w:rPr>
        <w:t>Needs external setup or larger effort</w:t>
      </w:r>
    </w:p>
    <w:p>
      <w:pPr>
        <w:pStyle w:val="ListBullet"/>
        <w:spacing w:after="40"/>
      </w:pPr>
      <w:r>
        <w:rPr>
          <w:sz w:val="21"/>
        </w:rPr>
        <w:t>SSO / SAML — requires a corporate identity provider (Azure AD, Okta)</w:t>
      </w:r>
    </w:p>
    <w:p>
      <w:pPr>
        <w:pStyle w:val="ListBullet"/>
        <w:spacing w:after="40"/>
      </w:pPr>
      <w:r>
        <w:rPr>
          <w:sz w:val="21"/>
        </w:rPr>
        <w:t>White-label — custom domain + logo per org (requires DNS and TLS certificate setup)</w:t>
      </w:r>
    </w:p>
    <w:p>
      <w:pPr>
        <w:pStyle w:val="ListBullet"/>
        <w:spacing w:after="40"/>
      </w:pPr>
      <w:r>
        <w:rPr>
          <w:sz w:val="21"/>
        </w:rPr>
        <w:t>Multi-language support (German, Afrikaans, French, Arabic) — large internationalisation effort</w:t>
      </w:r>
    </w:p>
    <w:p>
      <w:pPr>
        <w:spacing w:before="240" w:after="120"/>
      </w:pPr>
      <w:r>
        <w:rPr>
          <w:b/>
          <w:color w:val="1E3A5F"/>
          <w:sz w:val="30"/>
        </w:rPr>
        <w:t>Technology &amp; Quality</w:t>
      </w:r>
    </w:p>
    <w:tbl>
      <w:tblPr>
        <w:tblStyle w:val="TableGrid"/>
        <w:tblW w:type="auto" w:w="0"/>
        <w:jc w:val="left"/>
        <w:tblLook w:firstColumn="1" w:firstRow="1" w:lastColumn="0" w:lastRow="0" w:noHBand="0" w:noVBand="1" w:val="04A0"/>
      </w:tblPr>
      <w:tblGrid>
        <w:gridCol w:w="4320"/>
        <w:gridCol w:w="4320"/>
      </w:tblGrid>
      <w:tr>
        <w:tc>
          <w:tcPr>
            <w:tcW w:type="dxa" w:w="2304"/>
            <w:shd w:val="clear" w:color="auto" w:fill="1E3A5F"/>
          </w:tcPr>
          <w:p>
            <w:r/>
            <w:r>
              <w:rPr>
                <w:b/>
                <w:color w:val="FFFFFF"/>
                <w:sz w:val="19"/>
              </w:rPr>
              <w:t>Area</w:t>
            </w:r>
          </w:p>
        </w:tc>
        <w:tc>
          <w:tcPr>
            <w:tcW w:type="dxa" w:w="7056"/>
            <w:shd w:val="clear" w:color="auto" w:fill="1E3A5F"/>
          </w:tcPr>
          <w:p>
            <w:r/>
            <w:r>
              <w:rPr>
                <w:b/>
                <w:color w:val="FFFFFF"/>
                <w:sz w:val="19"/>
              </w:rPr>
              <w:t>Detail</w:t>
            </w:r>
          </w:p>
        </w:tc>
      </w:tr>
      <w:tr>
        <w:tc>
          <w:tcPr>
            <w:tcW w:type="dxa" w:w="2304"/>
          </w:tcPr>
          <w:p>
            <w:r/>
            <w:r>
              <w:rPr>
                <w:b w:val="0"/>
                <w:sz w:val="19"/>
              </w:rPr>
              <w:t>Framework</w:t>
            </w:r>
          </w:p>
        </w:tc>
        <w:tc>
          <w:tcPr>
            <w:tcW w:type="dxa" w:w="7056"/>
          </w:tcPr>
          <w:p>
            <w:r/>
            <w:r>
              <w:rPr>
                <w:b w:val="0"/>
                <w:sz w:val="19"/>
              </w:rPr>
              <w:t>Next.js 14 (App Router, TypeScript)</w:t>
            </w:r>
          </w:p>
        </w:tc>
      </w:tr>
      <w:tr>
        <w:tc>
          <w:tcPr>
            <w:tcW w:type="dxa" w:w="2304"/>
          </w:tcPr>
          <w:p>
            <w:r/>
            <w:r>
              <w:rPr>
                <w:b w:val="0"/>
                <w:sz w:val="19"/>
              </w:rPr>
              <w:t>Database</w:t>
            </w:r>
          </w:p>
        </w:tc>
        <w:tc>
          <w:tcPr>
            <w:tcW w:type="dxa" w:w="7056"/>
          </w:tcPr>
          <w:p>
            <w:r/>
            <w:r>
              <w:rPr>
                <w:b w:val="0"/>
                <w:sz w:val="19"/>
              </w:rPr>
              <w:t>PostgreSQL 16 via Prisma ORM</w:t>
            </w:r>
          </w:p>
        </w:tc>
      </w:tr>
      <w:tr>
        <w:tc>
          <w:tcPr>
            <w:tcW w:type="dxa" w:w="2304"/>
          </w:tcPr>
          <w:p>
            <w:r/>
            <w:r>
              <w:rPr>
                <w:b w:val="0"/>
                <w:sz w:val="19"/>
              </w:rPr>
              <w:t>Auth</w:t>
            </w:r>
          </w:p>
        </w:tc>
        <w:tc>
          <w:tcPr>
            <w:tcW w:type="dxa" w:w="7056"/>
          </w:tcPr>
          <w:p>
            <w:r/>
            <w:r>
              <w:rPr>
                <w:b w:val="0"/>
                <w:sz w:val="19"/>
              </w:rPr>
              <w:t>NextAuth.js (JWT, credentials, bcrypt)</w:t>
            </w:r>
          </w:p>
        </w:tc>
      </w:tr>
      <w:tr>
        <w:tc>
          <w:tcPr>
            <w:tcW w:type="dxa" w:w="2304"/>
          </w:tcPr>
          <w:p>
            <w:r/>
            <w:r>
              <w:rPr>
                <w:b w:val="0"/>
                <w:sz w:val="19"/>
              </w:rPr>
              <w:t>UI</w:t>
            </w:r>
          </w:p>
        </w:tc>
        <w:tc>
          <w:tcPr>
            <w:tcW w:type="dxa" w:w="7056"/>
          </w:tcPr>
          <w:p>
            <w:r/>
            <w:r>
              <w:rPr>
                <w:b w:val="0"/>
                <w:sz w:val="19"/>
              </w:rPr>
              <w:t>shadcn/ui (Radix UI + Tailwind CSS)</w:t>
            </w:r>
          </w:p>
        </w:tc>
      </w:tr>
      <w:tr>
        <w:tc>
          <w:tcPr>
            <w:tcW w:type="dxa" w:w="2304"/>
          </w:tcPr>
          <w:p>
            <w:r/>
            <w:r>
              <w:rPr>
                <w:b w:val="0"/>
                <w:sz w:val="19"/>
              </w:rPr>
              <w:t>AI</w:t>
            </w:r>
          </w:p>
        </w:tc>
        <w:tc>
          <w:tcPr>
            <w:tcW w:type="dxa" w:w="7056"/>
          </w:tcPr>
          <w:p>
            <w:r/>
            <w:r>
              <w:rPr>
                <w:b w:val="0"/>
                <w:sz w:val="19"/>
              </w:rPr>
              <w:t>Anthropic Claude (claude-haiku-4-5) with deterministic fallback</w:t>
            </w:r>
          </w:p>
        </w:tc>
      </w:tr>
      <w:tr>
        <w:tc>
          <w:tcPr>
            <w:tcW w:type="dxa" w:w="2304"/>
          </w:tcPr>
          <w:p>
            <w:r/>
            <w:r>
              <w:rPr>
                <w:b w:val="0"/>
                <w:sz w:val="19"/>
              </w:rPr>
              <w:t>Email</w:t>
            </w:r>
          </w:p>
        </w:tc>
        <w:tc>
          <w:tcPr>
            <w:tcW w:type="dxa" w:w="7056"/>
          </w:tcPr>
          <w:p>
            <w:r/>
            <w:r>
              <w:rPr>
                <w:b w:val="0"/>
                <w:sz w:val="19"/>
              </w:rPr>
              <w:t>Resend (optional; silent no-op without a key)</w:t>
            </w:r>
          </w:p>
        </w:tc>
      </w:tr>
      <w:tr>
        <w:tc>
          <w:tcPr>
            <w:tcW w:type="dxa" w:w="2304"/>
          </w:tcPr>
          <w:p>
            <w:r/>
            <w:r>
              <w:rPr>
                <w:b w:val="0"/>
                <w:sz w:val="19"/>
              </w:rPr>
              <w:t>Testing</w:t>
            </w:r>
          </w:p>
        </w:tc>
        <w:tc>
          <w:tcPr>
            <w:tcW w:type="dxa" w:w="7056"/>
          </w:tcPr>
          <w:p>
            <w:r/>
            <w:r>
              <w:rPr>
                <w:b w:val="0"/>
                <w:sz w:val="19"/>
              </w:rPr>
              <w:t>132 unit tests (Vitest) + GitHub Actions CI (typecheck, tests, build)</w:t>
            </w:r>
          </w:p>
        </w:tc>
      </w:tr>
      <w:tr>
        <w:tc>
          <w:tcPr>
            <w:tcW w:type="dxa" w:w="2304"/>
          </w:tcPr>
          <w:p>
            <w:r/>
            <w:r>
              <w:rPr>
                <w:b w:val="0"/>
                <w:sz w:val="19"/>
              </w:rPr>
              <w:t>Hosting</w:t>
            </w:r>
          </w:p>
        </w:tc>
        <w:tc>
          <w:tcPr>
            <w:tcW w:type="dxa" w:w="7056"/>
          </w:tcPr>
          <w:p>
            <w:r/>
            <w:r>
              <w:rPr>
                <w:b w:val="0"/>
                <w:sz w:val="19"/>
              </w:rPr>
              <w:t>DigitalOcean App Platform (Docker) + Managed PostgreSQL</w:t>
            </w:r>
          </w:p>
        </w:tc>
      </w:tr>
    </w:tbl>
    <w:p>
      <w:pPr>
        <w:spacing w:after="120"/>
      </w:pPr>
      <w:r>
        <w:rPr>
          <w:i w:val="0"/>
          <w:sz w:val="21"/>
        </w:rPr>
      </w:r>
    </w:p>
    <w:p>
      <w:r>
        <w:rPr>
          <w:i/>
          <w:color w:val="6B7280"/>
          <w:sz w:val="20"/>
        </w:rPr>
        <w:t>Every feature listed as Done or Live has been verified end-to-end against the live production database, not just built. The platform is stable, tested, documented, and in active use-ready state.</w:t>
      </w:r>
    </w:p>
    <w:p>
      <w:pPr>
        <w:spacing w:after="120"/>
      </w:pPr>
      <w:r>
        <w:rPr>
          <w:i w:val="0"/>
          <w:sz w:val="21"/>
        </w:rPr>
      </w:r>
    </w:p>
    <w:p>
      <w:r>
        <w:rPr>
          <w:color w:val="6B7280"/>
          <w:sz w:val="16"/>
        </w:rPr>
        <w:t>Not affiliated with SAP SE. SAP, S/4HANA, and SAP Migration Cockpit are trademarks of SAP 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