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708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Общие сведения о регулярных выражениях</w:t>
      </w:r>
    </w:p>
    <w:p>
      <w:pPr>
        <w:spacing w:before="24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валидация данных;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сбор данных (особенно веб-скрапинг, поиск страниц, содержащих определённый набор слов в определённом порядке);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данных (преобразование сырых данных в нужный формат);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парсинг (например, достать все GET параметры из URL или текст внутри скобок);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замена строк по шаблону;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подсветка синтаксиса, переименование файла, анализ пакетов и многие другие задачи, где нужно работать со строками.</w:t>
      </w:r>
    </w:p>
    <w:p>
      <w:pPr>
        <w:spacing w:before="24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Библиотеки для использования регулярных выражений, как правило, встроены в большинство современных языков программирования, однако даже без них многие текстовые редакторы (Notepad++, Visual Studio) позволяют производить поиск и обработку текста с помощью регулярных выражений.</w:t>
      </w:r>
    </w:p>
    <w:p>
      <w:pPr>
        <w:spacing w:before="24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Регулярное выражение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описание шаблона символов для поиска в строке. Самый простой шаблон, который мы можем описать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непосредственно та строка символов, которую необходимо найти. Например, если нужно проверить, содержит ли строка слово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«world»,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можем использовать эту же строку в регулярном выражении. В более сложных случаях нужно использовать специальные символы, которые можно условно разделить на 3 группы:</w:t>
      </w:r>
    </w:p>
    <w:p>
      <w:pPr>
        <w:numPr>
          <w:ilvl w:val="0"/>
          <w:numId w:val="5"/>
        </w:numPr>
        <w:spacing w:before="0" w:after="200" w:line="276"/>
        <w:ind w:right="0" w:left="709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метасимволы, отвечающие за класс символа (таблица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специальные обозначения, которые позволяют заменить собой несколько символов обычного алфавита. Например, регулярное выражение, проверяющее наличие в строке любой из цифр, будет описываться символом \d ;</w:t>
      </w:r>
    </w:p>
    <w:p>
      <w:pPr>
        <w:numPr>
          <w:ilvl w:val="0"/>
          <w:numId w:val="5"/>
        </w:numPr>
        <w:spacing w:before="0" w:after="200" w:line="276"/>
        <w:ind w:right="0" w:left="709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метасимволы, указывающие кратность символа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\d{3}</w:t>
      </w:r>
    </w:p>
    <w:p>
      <w:pPr>
        <w:numPr>
          <w:ilvl w:val="0"/>
          <w:numId w:val="5"/>
        </w:numPr>
        <w:spacing w:before="0" w:after="200" w:line="276"/>
        <w:ind w:right="0" w:left="709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метасимволы, отвечающие за группировку символов, частей шаблона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(например поиск повторений заданной группы символов, извлечение значений из отдельных групп одного выражения).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метасимволы, отвечающие за задание класса символа</w:t>
      </w:r>
    </w:p>
    <w:tbl>
      <w:tblPr/>
      <w:tblGrid>
        <w:gridCol w:w="1310"/>
        <w:gridCol w:w="8495"/>
      </w:tblGrid>
      <w:tr>
        <w:trPr>
          <w:trHeight w:val="71" w:hRule="auto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Символ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    ]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из символов, указанных в скобках.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[a-d]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регулярное выражение задает любой из символов в диапазоне с ‘a’ по ‘d’ (включительно)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[abc]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из символов: 'a’, ‘b’, ‘c’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[^   ]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из символов, не указанных в скобках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[^0-5]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символ кроме цифр от 0 до 5 (включительно)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[!$qwe]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символ кроме ‘!’, ‘$’, ‘q’, ‘w’, ‘e’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символ, кроме символов-разделителей.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\w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текстовый символ, не являющийся пробелом, символом табуляции и т.п.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\W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символ, не являющийся текстовым символом.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\s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Пробельный символ.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\S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непробельный символ из набора Unicode. Обратите внимание, что символы \w и \S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не одно и то же.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Цифровой символ, аналог [0-9]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Любой символ, отличный от ASCII-цифр. Эквивалентно [^0-9]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^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началу строкового выражения или началу строки при многострочном поиске.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^Hello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строке "Hello, world", но не "Ok, Hello world" т.к. в этой строке слово "Hello" находится не в начале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концу строкового выражения или концу строки при многострочном поиске.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Hello, World$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строкам, заканчивающимся на “World”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\b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\b(my)\b 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строке "Hello my world" выберет слово "my" (Скобки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оператор группировки, подробнее см. в таблице 3).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\B</w:t>
            </w:r>
          </w:p>
        </w:tc>
        <w:tc>
          <w:tcPr>
            <w:tcW w:w="8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позиции, не являющейся границей слов.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\B(ld)\b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соответствие найдется в слове "World", но не в слове "ld"</w:t>
            </w:r>
          </w:p>
        </w:tc>
      </w:tr>
    </w:tbl>
    <w:p>
      <w:pPr>
        <w:spacing w:before="0" w:after="20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метасимволы, отвечающие за кратность повторения символа</w:t>
      </w:r>
    </w:p>
    <w:tbl>
      <w:tblPr/>
      <w:tblGrid>
        <w:gridCol w:w="1310"/>
        <w:gridCol w:w="9345"/>
      </w:tblGrid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Символ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134" w:after="301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{n,m}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предшествующему шаблону, повторенному не менее n и не более m раз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Приве{1,3}т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строкам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Привееет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\d{2,5}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числам, содержащим от 2 до 5 цифр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[a-z]{3,5}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латинским словам, состоящим из 3-5 строчных букв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134" w:after="301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{n,}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предшествующему шаблону, повторенному n или более раз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Приве{1,}т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строкам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…,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Привееееееет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…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\d{2,}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числам, содержащим не менее 2 цифр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[a-z]{3,}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латинским словам, состоящим не менее, чем из 3 строчных букв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{n}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в точности n экземплярам предшествующего шаблона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\d{2}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число, состоящее из 2х цифр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нулю или одному экземпляру предшествующего шаблона; предшествующий шаблон является необязательным. Аналог {0,1}.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г\. )?[А-Я][а-я]{2,}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шаблон для задания строк вида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 Новосибирск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 Москва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где сокращение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может отсутствовать, т.е. допустимыми будут также строки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Новосибирск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 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Москва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одному или более экземплярам предшествующего шаблона. Аналог {1,}.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Пример: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\d+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любое число, состоящее более чем из одной цифры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</w:p>
        </w:tc>
        <w:tc>
          <w:tcPr>
            <w:tcW w:w="93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нулю или более экземплярам предшествующего шаблона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Эквивалентно {0,}</w:t>
            </w:r>
          </w:p>
        </w:tc>
      </w:tr>
    </w:tbl>
    <w:p>
      <w:pPr>
        <w:spacing w:before="240" w:after="200" w:line="276"/>
        <w:ind w:right="0" w:left="0" w:firstLine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3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метасимволы, отвечающие за группировку символов, частей шаблона</w:t>
      </w:r>
    </w:p>
    <w:tbl>
      <w:tblPr/>
      <w:tblGrid>
        <w:gridCol w:w="1507"/>
        <w:gridCol w:w="9148"/>
      </w:tblGrid>
      <w:tr>
        <w:trPr>
          <w:trHeight w:val="1" w:hRule="atLeast"/>
          <w:jc w:val="left"/>
        </w:trPr>
        <w:tc>
          <w:tcPr>
            <w:tcW w:w="15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Символ</w:t>
            </w:r>
          </w:p>
        </w:tc>
        <w:tc>
          <w:tcPr>
            <w:tcW w:w="91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</w:p>
        </w:tc>
      </w:tr>
      <w:tr>
        <w:trPr>
          <w:trHeight w:val="497" w:hRule="auto"/>
          <w:jc w:val="left"/>
        </w:trPr>
        <w:tc>
          <w:tcPr>
            <w:tcW w:w="15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|</w:t>
            </w:r>
          </w:p>
        </w:tc>
        <w:tc>
          <w:tcPr>
            <w:tcW w:w="91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Соответствует либо подвыражению слева, либо подвыражению справа (аналог логической операции ИЛИ).</w:t>
            </w:r>
          </w:p>
        </w:tc>
      </w:tr>
      <w:tr>
        <w:trPr>
          <w:trHeight w:val="1" w:hRule="atLeast"/>
          <w:jc w:val="left"/>
        </w:trPr>
        <w:tc>
          <w:tcPr>
            <w:tcW w:w="15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    )</w:t>
            </w:r>
          </w:p>
        </w:tc>
        <w:tc>
          <w:tcPr>
            <w:tcW w:w="91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Группирует элементы в скобках в единое целое, которое может использоваться с символами из таблицы 2, а также символом ‘|’. Запоминает символы, соответствующие этой группе для использования в последующих ссылках. Доступ при таком способе группировке возможен только по индексу (номеру) группы.</w:t>
            </w:r>
          </w:p>
        </w:tc>
      </w:tr>
      <w:tr>
        <w:trPr>
          <w:trHeight w:val="1" w:hRule="atLeast"/>
          <w:jc w:val="left"/>
        </w:trPr>
        <w:tc>
          <w:tcPr>
            <w:tcW w:w="15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(?&lt;name&gt;)</w:t>
            </w:r>
          </w:p>
        </w:tc>
        <w:tc>
          <w:tcPr>
            <w:tcW w:w="91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Именованная группа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 же самое, что и обычная группа, но с доступом по имени.</w:t>
            </w:r>
          </w:p>
        </w:tc>
      </w:tr>
      <w:tr>
        <w:trPr>
          <w:trHeight w:val="1" w:hRule="atLeast"/>
          <w:jc w:val="left"/>
        </w:trPr>
        <w:tc>
          <w:tcPr>
            <w:tcW w:w="15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(?:   )</w:t>
            </w:r>
          </w:p>
        </w:tc>
        <w:tc>
          <w:tcPr>
            <w:tcW w:w="914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4" w:type="dxa"/>
              <w:right w:w="22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Только группировка. Группирует элементы в скобках после ‘?:’ в единое целое, но не запоминает символы, соответствующие этой группе.</w:t>
            </w:r>
          </w:p>
        </w:tc>
      </w:tr>
    </w:tbl>
    <w:p>
      <w:pPr>
        <w:spacing w:before="0" w:after="20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 символа слэша ‘\’. Например, одним из таких символов является точка, которая в терминах регулярных выражений обозначает любой символ, кроме символов разделителей, и если нужно найти в строке именно точку, то ее следует описывать как \.</w:t>
      </w:r>
    </w:p>
    <w:p>
      <w:pPr>
        <w:keepNext w:val="true"/>
        <w:keepLines w:val="true"/>
        <w:spacing w:before="480" w:after="0" w:line="276"/>
        <w:ind w:right="0" w:left="0" w:firstLine="708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Пример использования регулярных выражений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примера рассмотрим задачу поиска в строке всех десятичных чисел, для этого нужно использовать символ \d (десятичная цифра в диапазоне 0-9). После этого необходимо задать количество вхождений, т.к. если оставить \d без модификаторов, то будет производиться поиск чисел, состоящих из одной цифры, и, например, для строки “123” регулярное выражение покажет 3 совпадения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каждой из цифр 1,2,3. Чтобы обработать все число целиком, нужно указать кратность, охватывающую его целиком, а т.к. числа могут быть любыми по длине, используем символ ‘+’ (от 1-го до бесконечности, подробнее в табл. 2). В этом случае регулярного выражения примет вид:  \d+ 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использовать это регулярное выражение в C#, нужно создать объект класса Regex, передав ему шаблон:</w:t>
      </w:r>
    </w:p>
    <w:p>
      <w:pPr>
        <w:spacing w:before="0" w:after="301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1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regex = new Regex(@“\d+”); 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символ @ используется для автоматического экранирования слэшей.</w:t>
      </w:r>
    </w:p>
    <w:p>
      <w:pPr>
        <w:spacing w:before="0" w:after="301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Затем, используя объект этого класса мы можем проверить удовлетворяет ли какая-то строка переданному шаблону: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s = “Hello, World! 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regex. IsMatch (s); //false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s2 = “Hello, R2D2”;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regex.IsMatch(s2); //true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мы хотим включить дополнительные символы для поиска, их нужно добавить в соответствующей позиции шаблона. Например, для поиска вещественных чисел нужно к имеющемуся шаблону добавить разделитель (точка или запятая) и дробную часть числа. В этом случае выражение примет вид: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Регулярное выражение для поиска десятичных вещественных чисел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regex2 = new Regex(@“\d+[\.,]\d+”);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сделать шаблон универсальным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для целых, так и для вещественных чисел, нужно дробную часть сделать опциональной, для этого можно использовать оператор группировки из таблицы 3 совместно с указанием кратности {0,1} или оператором ‘?’: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Регулярное выражение для поиска десятичных чисел: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regex3 = new Regex(@“\d+(?:[\.,]\d+)?”);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использовать регулярное выражение и проверить строку на соответствие, необходимо вызвать методы Match или IsMatch, передав в качестве параметра проверяемую строку. Различие этих методов состоит в возвращаемом значении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первый метод возвращает объект типа Match, содержащий информацию о найденном фрагменте текста (значение, позицию в строке), а также ссылку на следующее совпадение, IsMatch возвращает значение типа bool, показывающее, было ли хотя бы одно совпадение с шаблоном в проверяемой строке. Например: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r3 = new Regex(@“\d+(?:[\.,]\d+)?”);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str = 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Эта строка содержит число 234,54!”;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следующие строки выведут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ОК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if( r3.IsMatch( str ) ){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ОК!”);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else{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Console.WriteLine(“Not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☹”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а этот код может получить текст, соответствующий шаблону: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 m = r3.Match( str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if( m.Success ){ 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проверяем успешность поиска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string number = m.Value;</w:t>
        <w:tab/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 переменную number попадет 234,54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 number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случае, если строка может содержать несколько совпадений с шаблоном и нужно получить их все, нужно использовать свойство Next объекта Match для перехода к следующему совпадению. Ниже показан пример:</w:t>
      </w:r>
    </w:p>
    <w:p>
      <w:pPr>
        <w:spacing w:before="0" w:after="200" w:line="24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 исходной строке нужно найти все числа, соответствующие стоимостям продуктов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input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Добро пожаловать в наш магазин, вот наши цены: 1 кг. яблок - 20 руб. 2 кг. апельсинов - 30 руб. 0.5 кг. орехов - 50 руб.";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pattern = @"\d+(?:[\.,]\d+)?”);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regex = new Regex(pattern);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Получаем совпадения в экземпляре класса Match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 match = regex.Match(input);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отображаем все совпадения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while (match.Success) {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ab/>
        <w:t xml:space="preserve">//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значение, подходящее под шаблон содержится в свойстве Value</w:t>
      </w:r>
    </w:p>
    <w:p>
      <w:pPr>
        <w:spacing w:before="0" w:after="200" w:line="240"/>
        <w:ind w:right="0" w:left="0" w:firstLine="70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Console.WriteLine(match.Value);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ab/>
        <w:t xml:space="preserve">//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Переходим к следующему совпадению: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70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 = match.NextMatch(); </w:t>
      </w:r>
    </w:p>
    <w:p>
      <w:pPr>
        <w:spacing w:before="0" w:after="200" w:line="240"/>
        <w:ind w:right="0" w:left="0" w:firstLine="70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использования части результата, полученного с помощью регулярного выражения, можно использовать группировку. Составим регулярное выражения для поиска в строке RGB цветов. Как правило, RGB цвет записывается в виде шестнадцатеричного числа, начинающегося с символа ‘#’, за которым находятся 6 hex чисел, где каждая пара соответствует отдельному компоненту цвета, например, в записи #20a43f, красному компоненту (R) будет соответствовать 20, зеленому (G) a4 и синему (B) 3f. Каждому компоненту будет соответствовать фрагмент регулярного выражения “[a-f0-9]{2}”. Буквы a-f использованы для описания шестнадцатеричного числа, “{2}” указывает, что компонент каждого цвета состоит из двух цифр. Чтобы мы могли затем обратиться к этому компоненту, его необходимо взять в круглые скобки (сгруппировать). С учетом этого, задача имеет следующее решение:</w:t>
      </w: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colorRegex = new Regex(@“#([a-f0-9]{2})([a-f0-9]{2})([a-f0-9]{2})”);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s = Console.ReadLine();</w:t>
        <w:tab/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вводим строку с консоли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 m = colorRegex.Match( s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if( m.Success ){</w:t>
      </w:r>
    </w:p>
    <w:p>
      <w:pPr>
        <w:spacing w:before="0" w:after="0" w:line="288"/>
        <w:ind w:right="0" w:left="707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нумерация групп начинается с 1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Console.WriteLine($”R = {m.Groups[1].Value}” ); 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Console.WriteLine($”G = {m.Groups[2].Value}” ); 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Console.WriteLine($”B = {m.Groups[3].Value}”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(red, green, blue):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Regex colorRegex = 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new Regex(@"#(?&lt;red&gt;[a-f0-9]{2})(?&lt;green&gt;[a-f0-9]{2})(?&lt;blue&gt;[a-f0-9]{2})");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s = Console.ReadLine();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 m = colorRegex.Match(s);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 (m.Success) {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Console.WriteLine($"R = { m.Groups["red"].Value}");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Console.WriteLine($"G = { m.Groups["green"].Value}"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Console.WriteLine($"B = { m.Groups["blue"].Value}" );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88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сравнению с первым примером изменились шаблон регулярного выражения, и способ обращения к элементам группы.</w:t>
      </w:r>
    </w:p>
    <w:p>
      <w:pPr>
        <w:keepNext w:val="true"/>
        <w:keepLines w:val="true"/>
        <w:spacing w:before="480" w:after="0" w:line="276"/>
        <w:ind w:right="0" w:left="0" w:firstLine="709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Задание</w:t>
      </w:r>
    </w:p>
    <w:p>
      <w:pPr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каждого из пунктов заданий данные для проверки брать из текстового файла, в котором на каждой строке будет содержаться новая порция данных.</w:t>
      </w:r>
    </w:p>
    <w:p>
      <w:pPr>
        <w:spacing w:before="0" w:after="200" w:line="276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 [] input = File.ReadAllLines(@“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имя_файла”); //чтение массива строк</w:t>
      </w:r>
    </w:p>
    <w:p>
      <w:pPr>
        <w:spacing w:before="0" w:after="200" w:line="276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for(int i = 0; i &lt; input.Length; ++i ){</w:t>
      </w:r>
    </w:p>
    <w:p>
      <w:pPr>
        <w:spacing w:before="0" w:after="200" w:line="276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проверка i-го элемента массива на соответствие регулярному выражению</w:t>
      </w:r>
    </w:p>
    <w:p>
      <w:pPr>
        <w:spacing w:before="0" w:after="200" w:line="276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Тестовые данные в файле должны содержать как строки, удовлетворяющие шаблону, так и не подходящие под него.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которые проверят строки на соответствие: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«a», «aaaaaa», «a aa a». 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заставляющее вводить не менее 5 алфавитно-цифровых символов.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которое проверят email простого вида (например,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test@test.test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>
      <w:pPr>
        <w:numPr>
          <w:ilvl w:val="0"/>
          <w:numId w:val="11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выполняющее проверку адреса, записанного в формате: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ул.  строка  д. число/число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например,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ул. Высоцкого д. 20/3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введенная строка удовлетворяет шаблону, вывести отдельно название улицы и номер дома, иначе вывести строку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найдено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Примечание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слова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ул.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а также дробь в номере дома могут отсутствовать.</w:t>
      </w:r>
    </w:p>
    <w:p>
      <w:pPr>
        <w:numPr>
          <w:ilvl w:val="0"/>
          <w:numId w:val="118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которые считывает из строки 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еографические координаты городов. Координаты представлены в следующем формате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Новосибирск: широта 60.5678, долгота 54.1234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Названия некоторых городов могут быть написаны через дефис. Если введенная строка удовлетворяет шаблону, вывести отдельно название города, широту и долготу, иначе вывести строку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найдено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Примечание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слова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широта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долгота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могут отсутствовать. Координата может быть представлена целым числом.</w:t>
      </w:r>
    </w:p>
    <w:p>
      <w:pPr>
        <w:numPr>
          <w:ilvl w:val="0"/>
          <w:numId w:val="120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Написать регулярное выражение, которые считывает из строки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пользователя. Пользователь вводит строку следующего формата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Иванов Иван Иванович, 20 лет, г. Новосибирск.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введенная строка удовлетворяет шаблону, вывести отдельно название города, фамилию пользователя и его возраст, иначе вывести строку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найдено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Примечание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слово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может отсутствовать, также необязательным является указание отчества, первой цифрой возраста не может быть 0.</w:t>
      </w:r>
    </w:p>
    <w:p>
      <w:pPr>
        <w:numPr>
          <w:ilvl w:val="0"/>
          <w:numId w:val="12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текстовый редактор, поддерживающий регулярные выражения, например Notepad++ или Visual Studio, выполните следующие действия над файлом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Лабораторная работа 5 - testData.xml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использованием регулярных выражений (на каждое действие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отдельный шаблон):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найдите все значения, попадающие под ваш вариант задания из пункта 4;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удалите нумерацию строк (автозамена в этих редакторах также поддерживает использование регулярных выражений);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исправьте форматирование - все узлы первого уровня должны иметь отступ 2 символа;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некоторые из элементов имеют закрывающийся тег, не совпадающий по имени с открывающимся (пример правильного открытия-закрытия: &lt;имя_узла&gt; значение &lt;/имя_узла&gt;, неправильного: &lt;имя_узла&gt; значение &lt;/другое_имя_узла&gt;). 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Исправьте это.</w:t>
      </w:r>
    </w:p>
    <w:p>
      <w:pPr>
        <w:keepNext w:val="true"/>
        <w:keepLines w:val="true"/>
        <w:spacing w:before="480" w:after="0" w:line="276"/>
        <w:ind w:right="0" w:left="0" w:firstLine="709"/>
        <w:jc w:val="both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Дополнительное задание</w:t>
      </w:r>
    </w:p>
    <w:p>
      <w:pPr>
        <w:numPr>
          <w:ilvl w:val="0"/>
          <w:numId w:val="12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Составьте регулярное выражения выбирающее выражения, содержащее стоимость продукта из текста. Посчитать и выведите стоимость 1 кг. продукта. Например, дана следующая строка: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Добро пожаловать в наш магазин, вот наши цены: 1 кг. яблоки - 90 руб., 2 кг. апельсины - 130 руб. Также в ассортименте орехи в следующей фасовке: 0.5 кг. миндаль - 500 руб.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Правильным выводом программы будет следующий:</w:t>
      </w:r>
    </w:p>
    <w:p>
      <w:pPr>
        <w:spacing w:before="0" w:after="200" w:line="276"/>
        <w:ind w:right="0" w:left="708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яблоки - 90 руб/кг</w:t>
      </w:r>
    </w:p>
    <w:p>
      <w:pPr>
        <w:spacing w:before="0" w:after="200" w:line="276"/>
        <w:ind w:right="0" w:left="708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апельсины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руб/кг</w:t>
      </w:r>
    </w:p>
    <w:p>
      <w:pPr>
        <w:spacing w:before="0" w:after="200" w:line="276"/>
        <w:ind w:right="0" w:left="708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руб/кг</w:t>
      </w:r>
    </w:p>
    <w:p>
      <w:pPr>
        <w:numPr>
          <w:ilvl w:val="0"/>
          <w:numId w:val="13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 файл, содержащий некоторый текст. Требуется разработать программу, которая с помощью регулярных выражений выберет из него все интернет адреса в формате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http://www.sample.domen.ru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файле.</w:t>
      </w:r>
    </w:p>
    <w:p>
      <w:pPr>
        <w:spacing w:before="0" w:after="200" w:line="276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Адреса, хранящиеся в файле, должны удовлетворять следующим ограничениям: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уровней доменных имен может варьироваться, минимальное количество равно двум (например myDomen.ru), максимальное - пяти (например domen5.domen4.domen3.domen2.domen1); 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доменное имя может включать буквы, цифры, тире, знак нижнего подчеркивания, но при этом не может начинаться с тире;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составе адреса может отсутствовать указание протокола, а также аббревиатура www;</w:t>
      </w:r>
    </w:p>
    <w:p>
      <w:pPr>
        <w:numPr>
          <w:ilvl w:val="0"/>
          <w:numId w:val="13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же протокол указан, то это может быть одна из следующих записей: http, https, ftp.  </w:t>
      </w:r>
    </w:p>
    <w:p>
      <w:pPr>
        <w:keepNext w:val="true"/>
        <w:keepLines w:val="true"/>
        <w:spacing w:before="480" w:after="0" w:line="276"/>
        <w:ind w:right="0" w:left="0" w:firstLine="709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Источники литературы</w:t>
      </w:r>
    </w:p>
    <w:p>
      <w:pPr>
        <w:numPr>
          <w:ilvl w:val="0"/>
          <w:numId w:val="134"/>
        </w:numPr>
        <w:spacing w:before="0" w:after="200" w:line="276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https://docs.microsoft.com/ru-ru/dotnet/standard/base-types/regular-expressions</w:t>
        </w:r>
      </w:hyperlink>
    </w:p>
    <w:p>
      <w:pPr>
        <w:numPr>
          <w:ilvl w:val="0"/>
          <w:numId w:val="134"/>
        </w:numPr>
        <w:spacing w:before="0" w:after="200" w:line="276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https://professorweb.ru/my/csharp/charp_theory/level4/4_10.php</w:t>
        </w:r>
      </w:hyperlink>
    </w:p>
    <w:p>
      <w:pPr>
        <w:numPr>
          <w:ilvl w:val="0"/>
          <w:numId w:val="134"/>
        </w:numPr>
        <w:spacing w:before="0" w:after="200" w:line="276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https://metanit.com/sharp/tutorial/7.4.php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4"/>
        </w:numPr>
        <w:spacing w:before="0" w:after="200" w:line="276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http://website-lab.ru/article/regexp/shpargalka_po_regulyarnyim_vyirajeniyam/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115">
    <w:abstractNumId w:val="42"/>
  </w:num>
  <w:num w:numId="118">
    <w:abstractNumId w:val="36"/>
  </w:num>
  <w:num w:numId="120">
    <w:abstractNumId w:val="30"/>
  </w:num>
  <w:num w:numId="122">
    <w:abstractNumId w:val="24"/>
  </w:num>
  <w:num w:numId="126">
    <w:abstractNumId w:val="18"/>
  </w:num>
  <w:num w:numId="130">
    <w:abstractNumId w:val="12"/>
  </w:num>
  <w:num w:numId="132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ample.domen.ru/" Id="docRId1" Type="http://schemas.openxmlformats.org/officeDocument/2006/relationships/hyperlink" /><Relationship TargetMode="External" Target="https://professorweb.ru/my/csharp/charp_theory/level4/4_10.php" Id="docRId3" Type="http://schemas.openxmlformats.org/officeDocument/2006/relationships/hyperlink" /><Relationship TargetMode="External" Target="http://website-lab.ru/article/regexp/shpargalka_po_regulyarnyim_vyirajeniyam/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test@test.test" Id="docRId0" Type="http://schemas.openxmlformats.org/officeDocument/2006/relationships/hyperlink" /><Relationship TargetMode="External" Target="https://docs.microsoft.com/ru-ru/dotnet/standard/base-types/regular-expressions" Id="docRId2" Type="http://schemas.openxmlformats.org/officeDocument/2006/relationships/hyperlink" /><Relationship TargetMode="External" Target="https://metanit.com/sharp/tutorial/7.4.php" Id="docRId4" Type="http://schemas.openxmlformats.org/officeDocument/2006/relationships/hyperlink" /><Relationship Target="numbering.xml" Id="docRId6" Type="http://schemas.openxmlformats.org/officeDocument/2006/relationships/numbering" /></Relationships>
</file>