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106045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4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2</w:t>
      </w:r>
      <w:r>
        <w:rPr>
          <w:rFonts w:hint="eastAsia"/>
          <w:sz w:val="28"/>
          <w:szCs w:val="28"/>
          <w:u w:val="single"/>
          <w:lang w:val="en-US" w:eastAsia="zh-CN"/>
        </w:rPr>
        <w:t>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1.5</w:t>
            </w:r>
          </w:p>
        </w:tc>
        <w:tc>
          <w:tcPr>
            <w:tcW w:w="1347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_Toc17843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_Toc17843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_Toc16022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_Toc20292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_Toc20292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_Toc26919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_Toc26919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_Toc15850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_Toc15850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_Toc1483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_Toc1483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_Toc4955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_Toc4955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_Toc21509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_Toc21509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_Toc19237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_Toc19237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_Toc6875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_Toc6875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_Toc11042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_Toc11042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_Toc24582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_Toc24582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_Toc9317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_Toc9317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_Toc12697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_Toc12697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_Toc12472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_Toc12472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_Toc24091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_Toc24091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_Toc14564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_Toc14564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_Toc5662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_Toc5662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_Toc12890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_Toc12890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_Toc3034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_Toc3034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_Toc22257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_Toc22257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_Toc2135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_Toc2135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_Toc12249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_Toc12249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_Toc27429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_Toc27429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_Toc13562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_Toc13562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_Toc28864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_Toc28864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_Toc3147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_Toc3147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_Toc15622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_Toc15622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_Toc4331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_Toc4331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_Toc21102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_Toc21102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_Toc18433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_Toc18433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_Toc9182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_Toc9182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17843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16022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20292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查询股票信息 2. DIY策略 并附加qq推送功能。</w:t>
      </w:r>
    </w:p>
    <w:p>
      <w:pPr>
        <w:pStyle w:val="14"/>
      </w:pPr>
      <w:bookmarkStart w:id="3" w:name="_Toc26919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15850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1483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4955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21509"/>
      <w:r>
        <w:rPr>
          <w:rFonts w:hint="eastAsia"/>
        </w:rPr>
        <w:t>2.1</w:t>
      </w:r>
      <w:bookmarkStart w:id="8" w:name="_Toc235842277"/>
      <w:bookmarkStart w:id="9" w:name="_Toc235842525"/>
      <w:bookmarkStart w:id="10" w:name="_Toc235938037"/>
      <w:bookmarkStart w:id="11" w:name="_Toc235938402"/>
      <w:bookmarkStart w:id="12" w:name="_Toc495856401"/>
      <w:bookmarkStart w:id="13" w:name="_Toc496460848"/>
      <w:bookmarkStart w:id="14" w:name="_Toc497383814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21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19237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最高价，最低价，振幅等）并且通过简洁明了的方式的展现出来（如K线图）。在开盘时跟盘，提供数据分析。用户利用提供的变量和规则自定义一个策略，在满足策略要求时输出并通知用户。</w:t>
      </w:r>
    </w:p>
    <w:p>
      <w:pPr>
        <w:pStyle w:val="14"/>
      </w:pPr>
      <w:bookmarkStart w:id="16" w:name="_Toc6875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在windows7和windows10操作系统上运行。软件运行在pc端，提醒发送到qq上。</w:t>
      </w:r>
    </w:p>
    <w:p>
      <w:pPr>
        <w:pStyle w:val="13"/>
      </w:pPr>
      <w:bookmarkStart w:id="17" w:name="_Toc11042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24582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查看某只股票的历史K线图</w:t>
      </w:r>
    </w:p>
    <w:p>
      <w:r>
        <w:drawing>
          <wp:inline distT="0" distB="0" distL="0" distR="0">
            <wp:extent cx="5274310" cy="2345690"/>
            <wp:effectExtent l="0" t="0" r="2540" b="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0" b="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9317"/>
      <w:r>
        <w:rPr>
          <w:rFonts w:hint="eastAsia"/>
        </w:rPr>
        <w:t>3.2 项目采用的技术、特点</w:t>
      </w:r>
      <w:bookmarkEnd w:id="1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Studio制作与设计界面。调用网络上的数据，并对Json文件进行分析，在一定条件下通过通讯系统通知QQ</w:t>
      </w:r>
    </w:p>
    <w:p>
      <w:pPr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3.将历史数据解析制作成K线图。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12697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2472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24091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14564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5662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12890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3034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22257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2135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12249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7429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13562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28864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3147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15622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4331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21102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18433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9182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3A8159D5"/>
    <w:rsid w:val="3C9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